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left"/>
        <w:rPr>
          <w:rFonts w:ascii="黑体" w:hAnsi="黑体" w:eastAsia="黑体"/>
        </w:rPr>
      </w:pPr>
      <w:bookmarkStart w:id="0" w:name="_Hlk114216993"/>
      <w:bookmarkStart w:id="6" w:name="_GoBack"/>
      <w:bookmarkEnd w:id="6"/>
      <w:r>
        <w:rPr>
          <w:rFonts w:hint="eastAsia" w:ascii="黑体" w:hAnsi="黑体" w:eastAsia="黑体"/>
        </w:rPr>
        <w:t>附件1</w:t>
      </w:r>
    </w:p>
    <w:p>
      <w:pPr>
        <w:pStyle w:val="11"/>
        <w:spacing w:before="312" w:beforeLines="100" w:line="600" w:lineRule="exact"/>
        <w:rPr>
          <w:sz w:val="40"/>
          <w:szCs w:val="40"/>
          <w:lang w:bidi="ar"/>
        </w:rPr>
      </w:pPr>
      <w:r>
        <w:rPr>
          <w:rFonts w:hint="eastAsia"/>
          <w:sz w:val="40"/>
          <w:szCs w:val="40"/>
          <w:lang w:bidi="ar"/>
        </w:rPr>
        <w:t>大黄山产业投资基金公开遴选管理人申报指南</w:t>
      </w:r>
    </w:p>
    <w:bookmarkEnd w:id="0"/>
    <w:p>
      <w:pPr>
        <w:ind w:firstLine="0" w:firstLineChars="0"/>
        <w:jc w:val="center"/>
      </w:pPr>
      <w:r>
        <w:rPr>
          <w:rFonts w:hint="eastAsia"/>
        </w:rPr>
        <w:t>（送审稿）</w:t>
      </w:r>
    </w:p>
    <w:p>
      <w:pPr>
        <w:keepNext/>
        <w:keepLines/>
        <w:ind w:firstLine="640"/>
        <w:outlineLvl w:val="0"/>
        <w:rPr>
          <w:rFonts w:eastAsia="黑体"/>
          <w:bCs/>
          <w:kern w:val="44"/>
          <w:szCs w:val="44"/>
        </w:rPr>
      </w:pPr>
      <w:r>
        <w:rPr>
          <w:rFonts w:hint="eastAsia" w:eastAsia="黑体"/>
          <w:bCs/>
          <w:kern w:val="44"/>
          <w:szCs w:val="44"/>
        </w:rPr>
        <w:t>一、基本情况</w:t>
      </w:r>
    </w:p>
    <w:p>
      <w:pPr>
        <w:ind w:firstLine="640"/>
      </w:pPr>
      <w:r>
        <w:rPr>
          <w:rFonts w:hint="eastAsia"/>
          <w:u w:val="single"/>
        </w:rPr>
        <w:t>大黄山基金一期规模为为</w:t>
      </w:r>
      <w:r>
        <w:rPr>
          <w:u w:val="single"/>
        </w:rPr>
        <w:t>2</w:t>
      </w:r>
      <w:r>
        <w:rPr>
          <w:rFonts w:hint="eastAsia"/>
          <w:u w:val="single"/>
        </w:rPr>
        <w:t>0</w:t>
      </w:r>
      <w:r>
        <w:rPr>
          <w:u w:val="single"/>
        </w:rPr>
        <w:t>-30</w:t>
      </w:r>
      <w:r>
        <w:rPr>
          <w:rFonts w:hint="eastAsia"/>
          <w:u w:val="single"/>
        </w:rPr>
        <w:t>亿元，基金管理人负责募集资金比例不低于30%，安徽省联合国家级母基金出资不超过21亿元，</w:t>
      </w:r>
      <w:r>
        <w:rPr>
          <w:rFonts w:hint="eastAsia"/>
        </w:rPr>
        <w:t>鼓励基金管理人加大募集力度，做大基金规模，做强基金品牌。</w:t>
      </w:r>
      <w:r>
        <w:rPr>
          <w:rFonts w:hint="eastAsia"/>
          <w:u w:val="single"/>
        </w:rPr>
        <w:t>基金以黄山、池州、安庆、宣城为主要投资区域，重点投向文化旅游产业和休闲度假、创意经济、会展经济、体育赛事、医疗康养、文化服务等高端服务业，打造重点文化旅游产业项目运营平台。</w:t>
      </w:r>
      <w:r>
        <w:rPr>
          <w:rFonts w:hint="eastAsia"/>
        </w:rPr>
        <w:t>通过培育、招引、壮大一批文化旅游产业项目，带动社会综合投资超百亿元，推动大黄山区域高端服务业再上新台阶。本次通过公开遴选方式选聘大黄山基金一期的基金管理人。</w:t>
      </w:r>
    </w:p>
    <w:p>
      <w:pPr>
        <w:keepNext/>
        <w:keepLines/>
        <w:ind w:firstLine="640"/>
        <w:outlineLvl w:val="0"/>
        <w:rPr>
          <w:rFonts w:eastAsia="黑体"/>
          <w:bCs/>
          <w:kern w:val="44"/>
          <w:szCs w:val="44"/>
        </w:rPr>
      </w:pPr>
      <w:r>
        <w:rPr>
          <w:rFonts w:hint="eastAsia" w:eastAsia="黑体"/>
          <w:bCs/>
          <w:kern w:val="44"/>
          <w:szCs w:val="44"/>
        </w:rPr>
        <w:t>二、基金要素</w:t>
      </w:r>
    </w:p>
    <w:p>
      <w:pPr>
        <w:pStyle w:val="3"/>
        <w:ind w:firstLine="643"/>
        <w:rPr>
          <w:b/>
        </w:rPr>
      </w:pPr>
      <w:r>
        <w:rPr>
          <w:rFonts w:hint="eastAsia"/>
          <w:b/>
        </w:rPr>
        <w:t>（一）基金名称</w:t>
      </w:r>
    </w:p>
    <w:p>
      <w:pPr>
        <w:ind w:firstLine="640"/>
        <w:rPr>
          <w:bCs/>
        </w:rPr>
      </w:pPr>
      <w:r>
        <w:rPr>
          <w:rFonts w:hint="eastAsia"/>
          <w:bCs/>
        </w:rPr>
        <w:t>大黄山产业投资基金合伙企业（有限合伙）（暂定名，以工商登记为准）。</w:t>
      </w:r>
    </w:p>
    <w:p>
      <w:pPr>
        <w:pStyle w:val="3"/>
        <w:ind w:firstLine="643"/>
        <w:rPr>
          <w:b/>
        </w:rPr>
      </w:pPr>
      <w:r>
        <w:rPr>
          <w:rFonts w:hint="eastAsia"/>
          <w:b/>
        </w:rPr>
        <w:t>（二）组织形式</w:t>
      </w:r>
    </w:p>
    <w:p>
      <w:pPr>
        <w:ind w:firstLine="640"/>
        <w:rPr>
          <w:bCs/>
        </w:rPr>
      </w:pPr>
      <w:r>
        <w:rPr>
          <w:rFonts w:hint="eastAsia"/>
          <w:bCs/>
        </w:rPr>
        <w:t>有限合伙制。</w:t>
      </w:r>
    </w:p>
    <w:p>
      <w:pPr>
        <w:pStyle w:val="3"/>
        <w:ind w:firstLine="643"/>
        <w:rPr>
          <w:b/>
        </w:rPr>
      </w:pPr>
      <w:r>
        <w:rPr>
          <w:rFonts w:hint="eastAsia"/>
          <w:b/>
        </w:rPr>
        <w:t>（三）注册地</w:t>
      </w:r>
    </w:p>
    <w:p>
      <w:pPr>
        <w:ind w:firstLine="640"/>
        <w:rPr>
          <w:bCs/>
        </w:rPr>
      </w:pPr>
      <w:r>
        <w:rPr>
          <w:rFonts w:hint="eastAsia"/>
          <w:bCs/>
        </w:rPr>
        <w:t>安徽黄山。</w:t>
      </w:r>
    </w:p>
    <w:p>
      <w:pPr>
        <w:pStyle w:val="3"/>
        <w:ind w:firstLine="643"/>
        <w:rPr>
          <w:b/>
        </w:rPr>
      </w:pPr>
      <w:r>
        <w:rPr>
          <w:rFonts w:hint="eastAsia"/>
          <w:b/>
        </w:rPr>
        <w:t>（四）基金规模</w:t>
      </w:r>
    </w:p>
    <w:p>
      <w:pPr>
        <w:ind w:firstLine="640"/>
        <w:rPr>
          <w:bCs/>
        </w:rPr>
      </w:pPr>
      <w:r>
        <w:rPr>
          <w:rFonts w:hint="eastAsia"/>
          <w:bCs/>
        </w:rPr>
        <w:t>大黄山产业投资基金一期规模</w:t>
      </w:r>
      <w:r>
        <w:rPr>
          <w:rFonts w:hint="eastAsia"/>
          <w:u w:val="single"/>
        </w:rPr>
        <w:t>为</w:t>
      </w:r>
      <w:r>
        <w:rPr>
          <w:u w:val="single"/>
        </w:rPr>
        <w:t>2</w:t>
      </w:r>
      <w:r>
        <w:rPr>
          <w:rFonts w:hint="eastAsia"/>
          <w:u w:val="single"/>
        </w:rPr>
        <w:t>0</w:t>
      </w:r>
      <w:r>
        <w:rPr>
          <w:u w:val="single"/>
        </w:rPr>
        <w:t>-30</w:t>
      </w:r>
      <w:r>
        <w:rPr>
          <w:rFonts w:hint="eastAsia"/>
          <w:u w:val="single"/>
        </w:rPr>
        <w:t>亿元</w:t>
      </w:r>
      <w:r>
        <w:rPr>
          <w:rFonts w:hint="eastAsia"/>
          <w:bCs/>
        </w:rPr>
        <w:t>，基金管理人负责募集资金比例不低于30%，鼓励基金管理人加大募集力度，做大基金规模。</w:t>
      </w:r>
    </w:p>
    <w:p>
      <w:pPr>
        <w:pStyle w:val="3"/>
        <w:ind w:firstLine="643"/>
        <w:rPr>
          <w:b/>
        </w:rPr>
      </w:pPr>
      <w:r>
        <w:rPr>
          <w:rFonts w:hint="eastAsia"/>
          <w:b/>
        </w:rPr>
        <w:t>（五）存续期</w:t>
      </w:r>
    </w:p>
    <w:p>
      <w:pPr>
        <w:ind w:firstLine="640"/>
        <w:rPr>
          <w:bCs/>
        </w:rPr>
      </w:pPr>
      <w:r>
        <w:rPr>
          <w:rFonts w:hint="eastAsia"/>
          <w:bCs/>
        </w:rPr>
        <w:t>基金运营期限原则上为8年，其中投资期4年，退出期4年。根据基金运行情况确定延长期安排，经基金合伙人会议审议后实施。</w:t>
      </w:r>
    </w:p>
    <w:p>
      <w:pPr>
        <w:pStyle w:val="3"/>
        <w:ind w:firstLine="643"/>
        <w:rPr>
          <w:b/>
        </w:rPr>
      </w:pPr>
      <w:r>
        <w:rPr>
          <w:rFonts w:hint="eastAsia"/>
          <w:b/>
        </w:rPr>
        <w:t>（六）管理费</w:t>
      </w:r>
    </w:p>
    <w:p>
      <w:pPr>
        <w:ind w:firstLine="640"/>
        <w:rPr>
          <w:bCs/>
        </w:rPr>
      </w:pPr>
      <w:r>
        <w:rPr>
          <w:rFonts w:hint="eastAsia"/>
          <w:bCs/>
        </w:rPr>
        <w:t>原则上，投资期管理费按照不高于基金实缴规模的2%计提，退出期管理费按照不高于已投未退投资金额的1%计提，延长期不计提管理费。具体比例可由基金管理人与出资人进一步协商。</w:t>
      </w:r>
    </w:p>
    <w:p>
      <w:pPr>
        <w:pStyle w:val="3"/>
        <w:ind w:firstLine="643"/>
        <w:rPr>
          <w:b/>
        </w:rPr>
      </w:pPr>
      <w:r>
        <w:rPr>
          <w:rFonts w:hint="eastAsia"/>
          <w:b/>
        </w:rPr>
        <w:t>（七）门槛收益率</w:t>
      </w:r>
    </w:p>
    <w:p>
      <w:pPr>
        <w:ind w:firstLine="640"/>
        <w:rPr>
          <w:bCs/>
        </w:rPr>
      </w:pPr>
      <w:r>
        <w:rPr>
          <w:rFonts w:hint="eastAsia"/>
        </w:rPr>
        <w:t>基金门槛收益率参照市场惯例，由基金出资人与基金管理人协商确定。</w:t>
      </w:r>
    </w:p>
    <w:p>
      <w:pPr>
        <w:pStyle w:val="3"/>
        <w:ind w:firstLine="643"/>
        <w:rPr>
          <w:b/>
        </w:rPr>
      </w:pPr>
      <w:r>
        <w:rPr>
          <w:rFonts w:hint="eastAsia"/>
          <w:b/>
        </w:rPr>
        <w:t>（八）</w:t>
      </w:r>
      <w:r>
        <w:rPr>
          <w:b/>
        </w:rPr>
        <w:t>超额收益分配</w:t>
      </w:r>
    </w:p>
    <w:p>
      <w:pPr>
        <w:ind w:firstLine="640"/>
      </w:pPr>
      <w:r>
        <w:rPr>
          <w:rFonts w:hint="eastAsia"/>
        </w:rPr>
        <w:t>基金采取“即退即分”、“先回本后分利”方式进行分配。超额收益具体分配方式参照市场惯例，由基金出资人与基金管理人协商确定。</w:t>
      </w:r>
    </w:p>
    <w:p>
      <w:pPr>
        <w:pStyle w:val="3"/>
        <w:ind w:firstLine="643"/>
        <w:rPr>
          <w:b/>
        </w:rPr>
      </w:pPr>
      <w:r>
        <w:rPr>
          <w:rFonts w:hint="eastAsia"/>
          <w:b/>
        </w:rPr>
        <w:t>（九）让利机制</w:t>
      </w:r>
    </w:p>
    <w:p>
      <w:pPr>
        <w:ind w:firstLine="640"/>
        <w:rPr>
          <w:bCs/>
        </w:rPr>
      </w:pPr>
      <w:r>
        <w:rPr>
          <w:rFonts w:hint="eastAsia"/>
          <w:bCs/>
        </w:rPr>
        <w:t>基金到期清算时，大黄山基金中安徽省出资部分在收回全部投资本金并满足返投要求的基础上，根据基金运营、超额收益分配等情况，可将安徽省出资的部分超额收益向管理人进行让渡。具体在基金合伙协议或相关协议中予以约定。</w:t>
      </w:r>
    </w:p>
    <w:p>
      <w:pPr>
        <w:pStyle w:val="3"/>
        <w:ind w:firstLine="643"/>
        <w:rPr>
          <w:b/>
        </w:rPr>
      </w:pPr>
      <w:r>
        <w:rPr>
          <w:rFonts w:hint="eastAsia"/>
          <w:b/>
        </w:rPr>
        <w:t>（十）投资方式</w:t>
      </w:r>
    </w:p>
    <w:p>
      <w:pPr>
        <w:ind w:firstLine="640"/>
        <w:rPr>
          <w:rFonts w:eastAsia="微软雅黑"/>
          <w:sz w:val="21"/>
          <w:szCs w:val="21"/>
        </w:rPr>
      </w:pPr>
      <w:r>
        <w:rPr>
          <w:rFonts w:hint="eastAsia"/>
        </w:rPr>
        <w:t>基金主要以股权投资</w:t>
      </w:r>
      <w:r>
        <w:rPr>
          <w:rFonts w:hint="eastAsia"/>
          <w:u w:val="single"/>
        </w:rPr>
        <w:t>及其他符合法律法规的方式</w:t>
      </w:r>
      <w:r>
        <w:rPr>
          <w:rFonts w:hint="eastAsia"/>
        </w:rPr>
        <w:t>开展业务。</w:t>
      </w:r>
    </w:p>
    <w:p>
      <w:pPr>
        <w:pStyle w:val="3"/>
        <w:ind w:firstLine="643"/>
        <w:rPr>
          <w:b/>
        </w:rPr>
      </w:pPr>
      <w:r>
        <w:rPr>
          <w:rFonts w:hint="eastAsia"/>
          <w:b/>
        </w:rPr>
        <w:t>（十一）</w:t>
      </w:r>
      <w:r>
        <w:rPr>
          <w:b/>
        </w:rPr>
        <w:t>投资限制</w:t>
      </w:r>
    </w:p>
    <w:p>
      <w:pPr>
        <w:ind w:firstLine="643"/>
      </w:pPr>
      <w:r>
        <w:rPr>
          <w:rFonts w:hint="eastAsia"/>
          <w:b/>
        </w:rPr>
        <w:t>1.</w:t>
      </w:r>
      <w:r>
        <w:rPr>
          <w:rFonts w:hint="eastAsia"/>
        </w:rPr>
        <w:t>不得从事融资担保以外的担保、抵押、委托贷款等业务；</w:t>
      </w:r>
    </w:p>
    <w:p>
      <w:pPr>
        <w:ind w:firstLine="643"/>
      </w:pPr>
      <w:r>
        <w:rPr>
          <w:rFonts w:hint="eastAsia"/>
          <w:b/>
        </w:rPr>
        <w:t>2.</w:t>
      </w:r>
      <w:r>
        <w:rPr>
          <w:rFonts w:hint="eastAsia"/>
        </w:rPr>
        <w:t>不得投资二级市场股票（定增除外）、期货、房地产、证券投资基金、企业债、信托产品、非保本型理财产品、保险计划及其他金融衍生品；</w:t>
      </w:r>
    </w:p>
    <w:p>
      <w:pPr>
        <w:ind w:firstLine="643"/>
      </w:pPr>
      <w:r>
        <w:rPr>
          <w:rFonts w:hint="eastAsia"/>
          <w:b/>
        </w:rPr>
        <w:t>3.</w:t>
      </w:r>
      <w:r>
        <w:rPr>
          <w:rFonts w:hint="eastAsia"/>
        </w:rPr>
        <w:t>不得向任何第三方提供赞助、捐赠（经批准的公益性捐赠除外）;</w:t>
      </w:r>
    </w:p>
    <w:p>
      <w:pPr>
        <w:ind w:firstLine="643"/>
      </w:pPr>
      <w:r>
        <w:rPr>
          <w:rFonts w:hint="eastAsia"/>
          <w:b/>
        </w:rPr>
        <w:t>4.</w:t>
      </w:r>
      <w:r>
        <w:rPr>
          <w:rFonts w:hint="eastAsia"/>
        </w:rPr>
        <w:t>不得吸收或变相吸收存款，或向第三方提供贷款和资金拆借；</w:t>
      </w:r>
    </w:p>
    <w:p>
      <w:pPr>
        <w:ind w:firstLine="643"/>
      </w:pPr>
      <w:r>
        <w:rPr>
          <w:rFonts w:hint="eastAsia"/>
          <w:b/>
        </w:rPr>
        <w:t>5.</w:t>
      </w:r>
      <w:r>
        <w:rPr>
          <w:rFonts w:hint="eastAsia"/>
        </w:rPr>
        <w:t>不得进行承担无限连带责任的对外投资；</w:t>
      </w:r>
    </w:p>
    <w:p>
      <w:pPr>
        <w:ind w:firstLine="643"/>
      </w:pPr>
      <w:r>
        <w:rPr>
          <w:rFonts w:hint="eastAsia"/>
          <w:b/>
        </w:rPr>
        <w:t>6.</w:t>
      </w:r>
      <w:r>
        <w:rPr>
          <w:rFonts w:hint="eastAsia"/>
        </w:rPr>
        <w:t>不得发行信托或集合理财产品募集资金；</w:t>
      </w:r>
    </w:p>
    <w:p>
      <w:pPr>
        <w:ind w:firstLine="643"/>
      </w:pPr>
      <w:r>
        <w:rPr>
          <w:rFonts w:hint="eastAsia"/>
          <w:b/>
        </w:rPr>
        <w:t>7.</w:t>
      </w:r>
      <w:r>
        <w:rPr>
          <w:rFonts w:hint="eastAsia"/>
        </w:rPr>
        <w:t>不得投资产能严重过剩领域的新增产能项目；</w:t>
      </w:r>
    </w:p>
    <w:p>
      <w:pPr>
        <w:ind w:firstLine="643"/>
      </w:pPr>
      <w:r>
        <w:rPr>
          <w:rFonts w:hint="eastAsia"/>
          <w:b/>
        </w:rPr>
        <w:t>8.</w:t>
      </w:r>
      <w:r>
        <w:rPr>
          <w:rFonts w:hint="eastAsia"/>
        </w:rPr>
        <w:t>不得投资严重失信企业、僵尸企业；</w:t>
      </w:r>
    </w:p>
    <w:p>
      <w:pPr>
        <w:ind w:firstLine="643"/>
      </w:pPr>
      <w:r>
        <w:rPr>
          <w:rFonts w:hint="eastAsia"/>
          <w:b/>
        </w:rPr>
        <w:t>9.</w:t>
      </w:r>
      <w:r>
        <w:rPr>
          <w:rFonts w:hint="eastAsia"/>
        </w:rPr>
        <w:t>其他国家法律法规禁止从事的业务。</w:t>
      </w:r>
    </w:p>
    <w:p>
      <w:pPr>
        <w:pStyle w:val="3"/>
        <w:ind w:firstLine="643"/>
      </w:pPr>
      <w:r>
        <w:rPr>
          <w:rFonts w:hint="eastAsia"/>
          <w:b/>
        </w:rPr>
        <w:t>（十二）基金治理</w:t>
      </w:r>
    </w:p>
    <w:p>
      <w:pPr>
        <w:ind w:firstLine="643"/>
      </w:pPr>
      <w:r>
        <w:rPr>
          <w:rFonts w:hint="eastAsia"/>
          <w:b/>
        </w:rPr>
        <w:t>1</w:t>
      </w:r>
      <w:r>
        <w:rPr>
          <w:b/>
        </w:rPr>
        <w:t>.</w:t>
      </w:r>
      <w:r>
        <w:rPr>
          <w:rFonts w:hint="eastAsia"/>
          <w:b/>
        </w:rPr>
        <w:t>基金合伙人会议。</w:t>
      </w:r>
      <w:r>
        <w:rPr>
          <w:rFonts w:hint="eastAsia"/>
        </w:rPr>
        <w:t>基金合伙人会议由全体基金合伙人共同组成，基金合伙人会议为基金最高决策机构，负责审议有关基金的重大事项。</w:t>
      </w:r>
    </w:p>
    <w:p>
      <w:pPr>
        <w:ind w:firstLine="643"/>
      </w:pPr>
      <w:r>
        <w:rPr>
          <w:rFonts w:hint="eastAsia"/>
          <w:b/>
        </w:rPr>
        <w:t>2</w:t>
      </w:r>
      <w:r>
        <w:rPr>
          <w:b/>
        </w:rPr>
        <w:t>.</w:t>
      </w:r>
      <w:r>
        <w:rPr>
          <w:rFonts w:hint="eastAsia"/>
          <w:b/>
        </w:rPr>
        <w:t>投资决策委员会。</w:t>
      </w:r>
      <w:r>
        <w:rPr>
          <w:rFonts w:hint="eastAsia"/>
        </w:rPr>
        <w:t>按照市场化原则，以基金管理人为主组建投资决策委员会，负责审议股权投资项目投资及退出方案。安徽省出资方可通过委派投决会委员或观察员的方式对大黄山基金投资项目进行前置审查。安徽省出资方委派的投决会委员或观察员仅针对投资（退出）决策是否符合法律法规、安徽省政策文件、协议约定及相关事项进行分析判断，不进行商业判断。在违反上述事项情况下，保留一票否决权。</w:t>
      </w:r>
    </w:p>
    <w:p>
      <w:pPr>
        <w:pStyle w:val="3"/>
        <w:ind w:firstLine="643"/>
        <w:rPr>
          <w:b/>
        </w:rPr>
      </w:pPr>
      <w:r>
        <w:rPr>
          <w:rFonts w:hint="eastAsia"/>
          <w:b/>
        </w:rPr>
        <w:t>（十三）返投安排</w:t>
      </w:r>
    </w:p>
    <w:p>
      <w:pPr>
        <w:ind w:firstLine="643"/>
        <w:rPr>
          <w:bCs/>
        </w:rPr>
      </w:pPr>
      <w:r>
        <w:rPr>
          <w:rFonts w:hint="eastAsia"/>
          <w:b/>
          <w:bCs/>
        </w:rPr>
        <w:t>1.返投比例。</w:t>
      </w:r>
      <w:r>
        <w:rPr>
          <w:rFonts w:hint="eastAsia"/>
          <w:bCs/>
        </w:rPr>
        <w:t>基金投资大黄山四市（黄山、池州、安庆、宣城）企业的资金不低于基金实缴规模的60%；投向安徽省内的资金不低于基金实缴规模的80%。</w:t>
      </w:r>
    </w:p>
    <w:p>
      <w:pPr>
        <w:ind w:firstLine="643"/>
        <w:rPr>
          <w:b/>
          <w:bCs/>
        </w:rPr>
      </w:pPr>
      <w:r>
        <w:rPr>
          <w:rFonts w:hint="eastAsia"/>
          <w:b/>
          <w:bCs/>
        </w:rPr>
        <w:t>2.返投标准。</w:t>
      </w:r>
      <w:r>
        <w:rPr>
          <w:rFonts w:hint="eastAsia"/>
          <w:bCs/>
        </w:rPr>
        <w:t>为进一步强化基金招商效用，对以下情形可将基金投资大黄山四市（黄山、池州、安庆、宣城）以外被投企业的投资额，计算为基金投资于四市注册企业的投资额，具体包括：（1）在基金存续期内，大黄山四市以外的被投企业注册地迁往四市内，并承诺迁入后5年内不得迁出，或被四市内企业收购（仅限于控股型收购或收购并表）；（2）被投资企业注册在大黄山四市外，通过对该项目投资，将其企业总部、区域总部、纳税主体、生产基地、研发基地落户四市内，或在四市内成立子公司（实缴资本不低于基金投资四市外被投企业的投资额）的；（3）基金管理公司或属于同一实际控制人的管理公司在管的不属于安徽省内引导基金出资的其它基金，新增投资安徽省内注册企业或投资安徽省外注册企业且符合前述情形的。具体条款在基金合伙协议中商定。</w:t>
      </w:r>
    </w:p>
    <w:p>
      <w:pPr>
        <w:pStyle w:val="3"/>
        <w:ind w:firstLine="643"/>
        <w:rPr>
          <w:rFonts w:eastAsia="楷体_GB2312" w:asciiTheme="majorHAnsi" w:hAnsiTheme="majorHAnsi" w:cstheme="majorBidi"/>
          <w:b/>
          <w:bCs/>
          <w:szCs w:val="32"/>
        </w:rPr>
      </w:pPr>
      <w:r>
        <w:rPr>
          <w:rFonts w:hint="eastAsia" w:eastAsia="楷体_GB2312" w:asciiTheme="majorHAnsi" w:hAnsiTheme="majorHAnsi" w:cstheme="majorBidi"/>
          <w:b/>
          <w:bCs/>
          <w:szCs w:val="32"/>
        </w:rPr>
        <w:t>（十四）基金托管</w:t>
      </w:r>
    </w:p>
    <w:p>
      <w:pPr>
        <w:ind w:firstLine="640"/>
      </w:pPr>
      <w:r>
        <w:rPr>
          <w:rFonts w:hint="eastAsia"/>
        </w:rPr>
        <w:t>选择安徽省内设立的取得基金托管资格的金融机构作为托管机构。</w:t>
      </w:r>
    </w:p>
    <w:p>
      <w:pPr>
        <w:pStyle w:val="3"/>
        <w:ind w:firstLine="643"/>
        <w:rPr>
          <w:b/>
        </w:rPr>
      </w:pPr>
      <w:r>
        <w:rPr>
          <w:rFonts w:hint="eastAsia"/>
          <w:b/>
        </w:rPr>
        <w:t>（十五）退出方式</w:t>
      </w:r>
    </w:p>
    <w:p>
      <w:pPr>
        <w:ind w:firstLine="640"/>
      </w:pPr>
      <w:r>
        <w:rPr>
          <w:rFonts w:hint="eastAsia"/>
        </w:rPr>
        <w:t>基金可以通过上市退出、并购、股份（股权）转让和回购、资产证券化退出等方式从所投项目中退出。</w:t>
      </w:r>
    </w:p>
    <w:p>
      <w:pPr>
        <w:ind w:firstLine="640"/>
      </w:pPr>
      <w:r>
        <w:rPr>
          <w:rFonts w:hint="eastAsia"/>
        </w:rPr>
        <w:t>当出现下列情形之一，安徽省方出资人可以选择退出：（1）基金管理人负责募集资金未及时到位，基金出资人未按协议约定出资且逾期达6个月的；（2）基金出资人协议签署后超过6个月未完成备案登记手续的；（3）基金备案后超过6个月未开展投资业务的；（4）发生其他危害基金安全或者违背政策目标的等事前约定退出情形的。</w:t>
      </w:r>
    </w:p>
    <w:p>
      <w:pPr>
        <w:keepNext/>
        <w:keepLines/>
        <w:ind w:firstLine="640"/>
        <w:outlineLvl w:val="0"/>
        <w:rPr>
          <w:rFonts w:eastAsia="黑体"/>
          <w:bCs/>
          <w:kern w:val="44"/>
          <w:szCs w:val="44"/>
        </w:rPr>
      </w:pPr>
      <w:r>
        <w:rPr>
          <w:rFonts w:hint="eastAsia" w:eastAsia="黑体"/>
          <w:bCs/>
          <w:kern w:val="44"/>
          <w:szCs w:val="44"/>
        </w:rPr>
        <w:t>三、基金管理人要求</w:t>
      </w:r>
    </w:p>
    <w:p>
      <w:pPr>
        <w:ind w:firstLine="640"/>
        <w:rPr>
          <w:bCs/>
        </w:rPr>
      </w:pPr>
      <w:r>
        <w:rPr>
          <w:rFonts w:hint="eastAsia"/>
          <w:bCs/>
        </w:rPr>
        <w:t>基金管理人应具有高水平专业背景、国际视野和资源动员力，具备较强的募资和配套出资水平，对于大黄山四市（黄山、池州、安庆、宣城）总体情况、发展特点、产业布局有深入研究，在推动大黄山文化旅游产业发展、项目建设方面具有丰富经验，带动社会力量共同推动大黄山高端服务业发展。</w:t>
      </w:r>
    </w:p>
    <w:p>
      <w:pPr>
        <w:pStyle w:val="3"/>
        <w:ind w:firstLine="643"/>
        <w:rPr>
          <w:b/>
        </w:rPr>
      </w:pPr>
      <w:r>
        <w:rPr>
          <w:rFonts w:hint="eastAsia"/>
          <w:b/>
        </w:rPr>
        <w:t>（一）注册</w:t>
      </w:r>
      <w:r>
        <w:rPr>
          <w:b/>
        </w:rPr>
        <w:t>资本</w:t>
      </w:r>
    </w:p>
    <w:p>
      <w:pPr>
        <w:ind w:firstLine="640"/>
      </w:pPr>
      <w:r>
        <w:rPr>
          <w:rFonts w:hint="eastAsia"/>
        </w:rPr>
        <w:t>基金管理人</w:t>
      </w:r>
      <w:r>
        <w:t>须在</w:t>
      </w:r>
      <w:r>
        <w:rPr>
          <w:rFonts w:hint="eastAsia"/>
        </w:rPr>
        <w:t>中国</w:t>
      </w:r>
      <w:r>
        <w:t>大陆境内依法注册设立，</w:t>
      </w:r>
      <w:r>
        <w:rPr>
          <w:rFonts w:hint="eastAsia"/>
        </w:rPr>
        <w:t>注册资本实缴规模不低于</w:t>
      </w:r>
      <w:r>
        <w:t>1000万元</w:t>
      </w:r>
      <w:r>
        <w:rPr>
          <w:rFonts w:hint="eastAsia"/>
        </w:rPr>
        <w:t>人民币</w:t>
      </w:r>
      <w:r>
        <w:t>。</w:t>
      </w:r>
    </w:p>
    <w:p>
      <w:pPr>
        <w:pStyle w:val="3"/>
        <w:ind w:firstLine="643"/>
        <w:rPr>
          <w:b/>
        </w:rPr>
      </w:pPr>
      <w:r>
        <w:rPr>
          <w:rFonts w:hint="eastAsia"/>
          <w:b/>
        </w:rPr>
        <w:t>（二）</w:t>
      </w:r>
      <w:r>
        <w:rPr>
          <w:b/>
        </w:rPr>
        <w:t>管理资质</w:t>
      </w:r>
    </w:p>
    <w:p>
      <w:pPr>
        <w:ind w:firstLine="640"/>
      </w:pPr>
      <w:r>
        <w:rPr>
          <w:rFonts w:hint="eastAsia"/>
          <w:b/>
        </w:rPr>
        <w:t>1</w:t>
      </w:r>
      <w:r>
        <w:rPr>
          <w:b/>
        </w:rPr>
        <w:t>.</w:t>
      </w:r>
      <w:r>
        <w:rPr>
          <w:rFonts w:hint="eastAsia"/>
        </w:rPr>
        <w:t>基金管理人须按照私募股权投资基金、政府产业投资基金管理办法等监管要求设立运营，须在中国证券投资基金业协会完成登记，符合监管部门防范资本无序扩张的监管要求；</w:t>
      </w:r>
    </w:p>
    <w:p>
      <w:pPr>
        <w:ind w:firstLine="640"/>
      </w:pPr>
      <w:r>
        <w:rPr>
          <w:rFonts w:hint="eastAsia"/>
          <w:b/>
        </w:rPr>
        <w:t>2</w:t>
      </w:r>
      <w:r>
        <w:rPr>
          <w:b/>
        </w:rPr>
        <w:t>.</w:t>
      </w:r>
      <w:r>
        <w:rPr>
          <w:rFonts w:hint="eastAsia"/>
        </w:rPr>
        <w:t>基金管理人及主要人员（总监及以上）拥有良好的商业信誉和合规记录，近3年内未发生重大违法违规行为，未受到监管机构和相关政府部门的重大处罚及纪律处分；</w:t>
      </w:r>
    </w:p>
    <w:p>
      <w:pPr>
        <w:ind w:firstLine="640"/>
        <w:rPr>
          <w:rFonts w:eastAsia="方正楷体_GBK"/>
          <w:szCs w:val="32"/>
        </w:rPr>
      </w:pPr>
      <w:r>
        <w:rPr>
          <w:rFonts w:hint="eastAsia"/>
          <w:b/>
        </w:rPr>
        <w:t>3</w:t>
      </w:r>
      <w:r>
        <w:rPr>
          <w:b/>
        </w:rPr>
        <w:t>.</w:t>
      </w:r>
      <w:r>
        <w:rPr>
          <w:rFonts w:hint="eastAsia"/>
        </w:rPr>
        <w:t>基金管理人经营稳定，已建立完善的投资决策、内部控制、激励约束、关联交易和利益冲突规避机制，拥有良好的商业信誉，拥有与所承担责任相适应的资产，具有有效措施切实保证其无限责任承担能力</w:t>
      </w:r>
      <w:r>
        <w:t>。</w:t>
      </w:r>
    </w:p>
    <w:p>
      <w:pPr>
        <w:pStyle w:val="3"/>
        <w:ind w:firstLine="643"/>
        <w:rPr>
          <w:b/>
        </w:rPr>
      </w:pPr>
      <w:r>
        <w:rPr>
          <w:rFonts w:hint="eastAsia"/>
          <w:b/>
        </w:rPr>
        <w:t>（三）</w:t>
      </w:r>
      <w:r>
        <w:rPr>
          <w:b/>
        </w:rPr>
        <w:t>管理团队配备</w:t>
      </w:r>
    </w:p>
    <w:p>
      <w:pPr>
        <w:ind w:firstLine="640"/>
      </w:pPr>
      <w:r>
        <w:rPr>
          <w:rFonts w:hint="eastAsia"/>
        </w:rPr>
        <w:t>基金管理人须在安徽省内设置固定办公场所。基金管理人拥有5名以上具有股权投资和相关经验的专业人员；拥有3个及以上投资文化旅游领域项目的经验，且投资规模不低于5亿元；拥有良好的历史投资业绩，且有2个以上的文化旅游成功投资案例。</w:t>
      </w:r>
    </w:p>
    <w:p>
      <w:pPr>
        <w:pStyle w:val="3"/>
        <w:ind w:firstLine="643"/>
        <w:rPr>
          <w:b/>
        </w:rPr>
      </w:pPr>
      <w:r>
        <w:rPr>
          <w:rFonts w:hint="eastAsia"/>
          <w:b/>
        </w:rPr>
        <w:t>（四）募投管理能力</w:t>
      </w:r>
    </w:p>
    <w:p>
      <w:pPr>
        <w:ind w:firstLine="640"/>
        <w:rPr>
          <w:b/>
        </w:rPr>
      </w:pPr>
      <w:r>
        <w:rPr>
          <w:rFonts w:hint="eastAsia"/>
        </w:rPr>
        <w:t>鼓励基金管理人加大募资和配套出资能力，负责募集资金不低于基金总规模的30%（含）。其中，基金管理人或其控股股东、委派管理团队持股平台等认缴出资额不得低于基金计划设立规模的1%。基金管理人具有稳定性，团队主要成员共同从事股权投资相关业务达到3年及以上。基金管理人常驻安徽核心团队累计管理各类基金达到3只及以上，总规模不低于20亿元。</w:t>
      </w:r>
    </w:p>
    <w:p>
      <w:pPr>
        <w:ind w:firstLine="640"/>
      </w:pPr>
      <w:r>
        <w:rPr>
          <w:rFonts w:hint="eastAsia"/>
        </w:rPr>
        <w:t>正式提交申报材料时，基金管理人须提交其他出资人出资承诺函或意向函等。</w:t>
      </w:r>
    </w:p>
    <w:p>
      <w:pPr>
        <w:ind w:firstLine="640"/>
      </w:pPr>
      <w:r>
        <w:rPr>
          <w:rFonts w:hint="eastAsia"/>
        </w:rPr>
        <w:t>（注：本文中，不低于、不超过的表述均包含本数，低于、超过的表述均不包含本数；涉及资金均指人民币。）</w:t>
      </w:r>
    </w:p>
    <w:p>
      <w:pPr>
        <w:pStyle w:val="2"/>
        <w:ind w:firstLine="640"/>
      </w:pPr>
      <w:r>
        <w:rPr>
          <w:rFonts w:hint="eastAsia"/>
        </w:rPr>
        <w:t>四、申报材料要求</w:t>
      </w:r>
    </w:p>
    <w:p>
      <w:pPr>
        <w:ind w:firstLine="643"/>
      </w:pPr>
      <w:r>
        <w:rPr>
          <w:b/>
        </w:rPr>
        <w:t>1.</w:t>
      </w:r>
      <w:r>
        <w:rPr>
          <w:rFonts w:hint="eastAsia"/>
        </w:rPr>
        <w:t>申报机构应根据遴选公告、申报指南和申报材料（模板），编制基金设立方案，明确投资策略、完善基金要素、提供储备项目，并配套建立健全基金募资、投资、管理、退出相关制度。</w:t>
      </w:r>
    </w:p>
    <w:p>
      <w:pPr>
        <w:ind w:firstLine="643"/>
        <w:rPr>
          <w:b/>
        </w:rPr>
      </w:pPr>
      <w:r>
        <w:rPr>
          <w:rFonts w:hint="eastAsia"/>
          <w:b/>
        </w:rPr>
        <w:t>2.</w:t>
      </w:r>
      <w:r>
        <w:rPr>
          <w:rFonts w:hint="eastAsia"/>
        </w:rPr>
        <w:t>申报机构应按以上内容拟定申报文字材料，并提交附件及相关证明材料。材料要求按照</w:t>
      </w:r>
      <w:r>
        <w:rPr>
          <w:rFonts w:hint="eastAsia"/>
          <w:b/>
        </w:rPr>
        <w:t>《大黄山产业投资基金公开遴选管理人申报材料（模板）》及附件要求依序编制申报材料</w:t>
      </w:r>
      <w:r>
        <w:rPr>
          <w:rFonts w:hint="eastAsia"/>
        </w:rPr>
        <w:t>，分别</w:t>
      </w:r>
      <w:r>
        <w:rPr>
          <w:rFonts w:hint="eastAsia"/>
          <w:b/>
        </w:rPr>
        <w:t>列出目录并附有关证明</w:t>
      </w:r>
      <w:r>
        <w:rPr>
          <w:rFonts w:hint="eastAsia"/>
        </w:rPr>
        <w:t>。其中，申报材料中的相关附表及参考模板建议按照整体架构编写和整理。</w:t>
      </w:r>
    </w:p>
    <w:p>
      <w:pPr>
        <w:ind w:firstLine="643"/>
      </w:pPr>
      <w:r>
        <w:rPr>
          <w:b/>
        </w:rPr>
        <w:t>3.</w:t>
      </w:r>
      <w:r>
        <w:rPr>
          <w:rFonts w:hint="eastAsia"/>
        </w:rPr>
        <w:t>申报材料包括</w:t>
      </w:r>
      <w:r>
        <w:rPr>
          <w:rFonts w:hint="eastAsia"/>
          <w:b/>
        </w:rPr>
        <w:t>纸质材料和电子材料</w:t>
      </w:r>
      <w:r>
        <w:rPr>
          <w:rFonts w:hint="eastAsia"/>
        </w:rPr>
        <w:t>。其中，纸质材料根据公告要求分别列出目录及对应页码并规范打印、装订成册（纸质材料请整体连续编制页码）；电子材料（以</w:t>
      </w:r>
      <w:r>
        <w:t>U</w:t>
      </w:r>
      <w:r>
        <w:rPr>
          <w:rFonts w:hint="eastAsia"/>
        </w:rPr>
        <w:t>盘存储）应包含：</w:t>
      </w:r>
    </w:p>
    <w:p>
      <w:pPr>
        <w:ind w:firstLine="640"/>
      </w:pPr>
      <w:r>
        <w:rPr>
          <w:rFonts w:hint="eastAsia"/>
        </w:rPr>
        <w:t>（</w:t>
      </w:r>
      <w:r>
        <w:t>1</w:t>
      </w:r>
      <w:r>
        <w:rPr>
          <w:rFonts w:hint="eastAsia"/>
        </w:rPr>
        <w:t>）全部纸质材料扫描件（</w:t>
      </w:r>
      <w:r>
        <w:t>PDF</w:t>
      </w:r>
      <w:r>
        <w:rPr>
          <w:rFonts w:hint="eastAsia"/>
        </w:rPr>
        <w:t>文档，页码需与纸质版保持一致）；</w:t>
      </w:r>
    </w:p>
    <w:p>
      <w:pPr>
        <w:ind w:firstLine="640"/>
      </w:pPr>
      <w:r>
        <w:rPr>
          <w:rFonts w:hint="eastAsia"/>
        </w:rPr>
        <w:t>（</w:t>
      </w:r>
      <w:r>
        <w:t>2</w:t>
      </w:r>
      <w:r>
        <w:rPr>
          <w:rFonts w:hint="eastAsia"/>
        </w:rPr>
        <w:t>）可编辑文档，全部以</w:t>
      </w:r>
      <w:r>
        <w:t>WPS</w:t>
      </w:r>
      <w:r>
        <w:rPr>
          <w:rFonts w:hint="eastAsia"/>
        </w:rPr>
        <w:t>、</w:t>
      </w:r>
      <w:r>
        <w:t>WORD</w:t>
      </w:r>
      <w:r>
        <w:rPr>
          <w:rFonts w:hint="eastAsia"/>
        </w:rPr>
        <w:t>、</w:t>
      </w:r>
      <w:r>
        <w:t>EXCEL</w:t>
      </w:r>
      <w:r>
        <w:rPr>
          <w:rFonts w:hint="eastAsia"/>
        </w:rPr>
        <w:t>等格式制作；</w:t>
      </w:r>
    </w:p>
    <w:p>
      <w:pPr>
        <w:ind w:firstLine="640"/>
      </w:pPr>
      <w:r>
        <w:rPr>
          <w:rFonts w:hint="eastAsia"/>
        </w:rPr>
        <w:t>（3）电子材料和纸质材料须保持一致，否则以纸质材料为准。纸质材料正本1份、副本8份（请在材料封面明确标注“正本”或“副本”）；电子材料1份（以U盘存储与纸质材料一并密封提交。</w:t>
      </w:r>
    </w:p>
    <w:p>
      <w:pPr>
        <w:ind w:firstLine="640"/>
      </w:pPr>
      <w:r>
        <w:rPr>
          <w:rFonts w:hint="eastAsia"/>
        </w:rPr>
        <w:t>（4）文件名为“大黄山产业投资基金申报材料+申报机构名称”。申报材料密封袋正面注明“大黄山产业投资基金申报材料+申报机构名称”。</w:t>
      </w:r>
    </w:p>
    <w:p>
      <w:pPr>
        <w:numPr>
          <w:ilvl w:val="255"/>
          <w:numId w:val="0"/>
        </w:numPr>
        <w:ind w:firstLine="643" w:firstLineChars="200"/>
      </w:pPr>
      <w:r>
        <w:rPr>
          <w:b/>
        </w:rPr>
        <w:t>4</w:t>
      </w:r>
      <w:r>
        <w:rPr>
          <w:rFonts w:hint="eastAsia"/>
          <w:b/>
        </w:rPr>
        <w:t>.</w:t>
      </w:r>
      <w:r>
        <w:rPr>
          <w:rFonts w:hint="eastAsia"/>
        </w:rPr>
        <w:t>全套纸质的申报材料须</w:t>
      </w:r>
      <w:r>
        <w:rPr>
          <w:rFonts w:hint="eastAsia"/>
          <w:b/>
        </w:rPr>
        <w:t>左侧胶装</w:t>
      </w:r>
      <w:r>
        <w:rPr>
          <w:rFonts w:hint="eastAsia"/>
        </w:rPr>
        <w:t>，并</w:t>
      </w:r>
      <w:r>
        <w:rPr>
          <w:rFonts w:hint="eastAsia"/>
          <w:b/>
        </w:rPr>
        <w:t>加盖骑缝章</w:t>
      </w:r>
      <w:r>
        <w:rPr>
          <w:rFonts w:hint="eastAsia"/>
        </w:rPr>
        <w:t>，封面</w:t>
      </w:r>
      <w:r>
        <w:rPr>
          <w:rFonts w:hint="eastAsia"/>
          <w:b/>
        </w:rPr>
        <w:t>由法定代表人（或委托授权人）签字并加盖机构公章</w:t>
      </w:r>
      <w:r>
        <w:rPr>
          <w:rFonts w:hint="eastAsia"/>
        </w:rPr>
        <w:t>。</w:t>
      </w:r>
    </w:p>
    <w:p>
      <w:pPr>
        <w:ind w:firstLine="643"/>
      </w:pPr>
      <w:r>
        <w:rPr>
          <w:b/>
        </w:rPr>
        <w:t>5</w:t>
      </w:r>
      <w:r>
        <w:rPr>
          <w:rFonts w:hint="eastAsia"/>
          <w:b/>
        </w:rPr>
        <w:t>.</w:t>
      </w:r>
      <w:r>
        <w:rPr>
          <w:rFonts w:hint="eastAsia"/>
        </w:rPr>
        <w:t>申报材料应对本公告中关于基金基本要求、管理人基本条件等实质内容逐一响应。</w:t>
      </w:r>
      <w:r>
        <w:rPr>
          <w:rFonts w:hint="eastAsia"/>
          <w:b/>
        </w:rPr>
        <w:t>原则上，不得改变《大黄山产业投资基金公开遴选管理人申报材料（模板）》相关附表、参考模板整体架构及关键承诺事项内容</w:t>
      </w:r>
      <w:r>
        <w:rPr>
          <w:rFonts w:hint="eastAsia"/>
        </w:rPr>
        <w:t>。</w:t>
      </w:r>
    </w:p>
    <w:p>
      <w:pPr>
        <w:keepNext/>
        <w:keepLines/>
        <w:ind w:firstLine="640"/>
        <w:outlineLvl w:val="0"/>
        <w:rPr>
          <w:rFonts w:eastAsia="黑体"/>
          <w:bCs/>
          <w:kern w:val="44"/>
          <w:szCs w:val="44"/>
        </w:rPr>
      </w:pPr>
      <w:r>
        <w:rPr>
          <w:rFonts w:hint="eastAsia" w:eastAsia="黑体"/>
          <w:bCs/>
          <w:kern w:val="44"/>
          <w:szCs w:val="44"/>
        </w:rPr>
        <w:t>五、评审工作</w:t>
      </w:r>
    </w:p>
    <w:p>
      <w:pPr>
        <w:ind w:firstLine="640"/>
      </w:pPr>
      <w:r>
        <w:rPr>
          <w:rFonts w:hint="eastAsia"/>
        </w:rPr>
        <w:t>申报材料受理完毕后，将组织专家团队，围绕基金募集、基金投资、基金成本、募资业绩、投资业绩、管理能力、退出业绩、委派团队情况等维度进行综合评价，详见附表《</w:t>
      </w:r>
      <w:bookmarkStart w:id="1" w:name="_Hlk135383795"/>
      <w:r>
        <w:rPr>
          <w:rFonts w:hint="eastAsia"/>
          <w:lang w:bidi="ar"/>
        </w:rPr>
        <w:t>大黄山产业投资基金公开遴选管理人专家评审指标</w:t>
      </w:r>
      <w:bookmarkEnd w:id="1"/>
      <w:r>
        <w:rPr>
          <w:rFonts w:hint="eastAsia"/>
        </w:rPr>
        <w:t>》。</w:t>
      </w:r>
    </w:p>
    <w:p>
      <w:pPr>
        <w:ind w:firstLine="643"/>
        <w:rPr>
          <w:rFonts w:cstheme="minorBidi"/>
          <w:b/>
          <w:bCs/>
          <w:kern w:val="28"/>
          <w:szCs w:val="40"/>
          <w:lang w:bidi="ar"/>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hd w:val="clear" w:color="auto" w:fill="FFFFFF"/>
        <w:autoSpaceDE w:val="0"/>
        <w:adjustRightInd w:val="0"/>
        <w:snapToGrid w:val="0"/>
        <w:spacing w:line="440" w:lineRule="exact"/>
        <w:ind w:firstLine="0" w:firstLineChars="0"/>
        <w:jc w:val="center"/>
        <w:rPr>
          <w:rFonts w:ascii="仿宋_GB2312" w:hAnsi="仿宋_GB2312" w:cs="仿宋_GB2312"/>
          <w:b/>
          <w:bCs/>
          <w:kern w:val="0"/>
          <w:szCs w:val="32"/>
          <w:shd w:val="clear" w:color="auto" w:fill="FFFFFF"/>
          <w:lang w:bidi="ar"/>
        </w:rPr>
      </w:pPr>
      <w:bookmarkStart w:id="2" w:name="_Hlk116062761"/>
      <w:r>
        <w:rPr>
          <w:rFonts w:hint="eastAsia" w:ascii="仿宋_GB2312" w:hAnsi="仿宋_GB2312" w:cs="仿宋_GB2312"/>
          <w:b/>
          <w:bCs/>
          <w:kern w:val="0"/>
          <w:szCs w:val="32"/>
          <w:shd w:val="clear" w:color="auto" w:fill="FFFFFF"/>
          <w:lang w:bidi="ar"/>
        </w:rPr>
        <w:t>大黄山产业投资基金公开遴选管理人专家评审指标（送审稿）</w:t>
      </w:r>
    </w:p>
    <w:p>
      <w:pPr>
        <w:keepNext/>
        <w:keepLines/>
        <w:ind w:firstLine="0" w:firstLineChars="0"/>
        <w:jc w:val="center"/>
        <w:outlineLvl w:val="0"/>
        <w:rPr>
          <w:rFonts w:eastAsia="黑体"/>
          <w:bCs/>
          <w:kern w:val="44"/>
          <w:szCs w:val="44"/>
        </w:rPr>
      </w:pPr>
      <w:r>
        <w:rPr>
          <w:rFonts w:hint="eastAsia" w:eastAsia="黑体"/>
          <w:bCs/>
          <w:kern w:val="44"/>
          <w:szCs w:val="44"/>
        </w:rPr>
        <w:t>一、基本条件</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3"/>
        <w:gridCol w:w="2158"/>
        <w:gridCol w:w="12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blHeader/>
          <w:jc w:val="center"/>
        </w:trPr>
        <w:tc>
          <w:tcPr>
            <w:tcW w:w="459" w:type="pct"/>
            <w:tcBorders>
              <w:top w:val="single" w:color="auto" w:sz="4" w:space="0"/>
              <w:left w:val="single" w:color="auto" w:sz="4" w:space="0"/>
              <w:bottom w:val="single" w:color="auto" w:sz="4" w:space="0"/>
              <w:right w:val="single" w:color="auto" w:sz="4" w:space="0"/>
            </w:tcBorders>
            <w:shd w:val="clear" w:color="auto" w:fill="D9D9D9"/>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一级指标</w:t>
            </w:r>
          </w:p>
        </w:tc>
        <w:tc>
          <w:tcPr>
            <w:tcW w:w="691"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ascii="等线" w:hAnsi="等线" w:eastAsia="等线" w:cs="等线"/>
                <w:b/>
                <w:bCs/>
                <w:kern w:val="0"/>
                <w:sz w:val="22"/>
                <w:szCs w:val="22"/>
                <w:lang w:bidi="ar"/>
              </w:rPr>
              <w:t>二级指标</w:t>
            </w:r>
          </w:p>
        </w:tc>
        <w:tc>
          <w:tcPr>
            <w:tcW w:w="3850"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ascii="等线" w:hAnsi="等线" w:eastAsia="等线" w:cs="等线"/>
                <w:b/>
                <w:bCs/>
                <w:sz w:val="22"/>
                <w:szCs w:val="22"/>
              </w:rPr>
              <w:t>评审项目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9" w:type="pct"/>
            <w:vMerge w:val="restart"/>
            <w:tcBorders>
              <w:top w:val="single" w:color="auto" w:sz="4" w:space="0"/>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eastAsia="等线" w:cs="等线"/>
                <w:b/>
                <w:bCs/>
                <w:kern w:val="0"/>
                <w:sz w:val="22"/>
                <w:szCs w:val="22"/>
                <w:lang w:bidi="ar"/>
              </w:rPr>
              <w:t>基本条件</w:t>
            </w: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注册资本</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基金管理人须在中国大陆境内依法注册设立，注册资本实缴规模不低于1000万元。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行业监管</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基金管理人须按照私募股权投资基金、政府产业投资基金管理办法等监管要求设立运营，须在中国证券投资基金业协会完成登记，符合监管部门防范资本无序扩张的监管要求。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从业规范</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基金管理人及主要人员（总监及以上）拥有良好的商业信誉和合规记录，近3年内未发生重大违法违规行为，未受到监管机构和相关政府部门的重大处罚及纪律处分。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内部治理</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eastAsia="楷体" w:cs="楷体"/>
                <w:kern w:val="0"/>
                <w:sz w:val="24"/>
                <w:lang w:bidi="ar"/>
              </w:rPr>
            </w:pPr>
            <w:r>
              <w:rPr>
                <w:rFonts w:hint="eastAsia" w:eastAsia="楷体" w:cs="楷体"/>
                <w:kern w:val="0"/>
                <w:sz w:val="24"/>
                <w:lang w:bidi="ar"/>
              </w:rPr>
              <w:t>基金管理人经营稳定，已建立完善的投资决策、内部控制、激励约束、关联交易和利益冲突规避机制，拥有良好的商业信誉，拥有与所承担责任相适应的资产，具有有效措施切实保证其无限责任承担能力。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459"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69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团队配备</w:t>
            </w:r>
          </w:p>
        </w:tc>
        <w:tc>
          <w:tcPr>
            <w:tcW w:w="385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w:t>
            </w:r>
            <w:bookmarkStart w:id="3" w:name="_Hlk127905852"/>
            <w:r>
              <w:rPr>
                <w:rFonts w:hint="eastAsia" w:eastAsia="楷体" w:cs="楷体"/>
                <w:kern w:val="0"/>
                <w:sz w:val="24"/>
                <w:lang w:bidi="ar"/>
              </w:rPr>
              <w:t>已在或者承诺在</w:t>
            </w:r>
            <w:bookmarkEnd w:id="3"/>
            <w:r>
              <w:rPr>
                <w:rFonts w:hint="eastAsia" w:eastAsia="楷体" w:cs="楷体"/>
                <w:kern w:val="0"/>
                <w:sz w:val="24"/>
                <w:lang w:bidi="ar"/>
              </w:rPr>
              <w:t>安徽省内设置固定办公场所。基金管理人拥有5名以上具有股权投资和相关经验的专业人员；拥有3个及以上投资文化旅游领域项目的经验，且投资规模不低于5亿元；拥有良好的历史投资业绩，且有2个以上的文化旅游成功投资案例。基金管理人承诺，管理团队中主要成员未被纳入全国信用信息共享平台失信名单，</w:t>
            </w:r>
            <w:r>
              <w:rPr>
                <w:rFonts w:hint="eastAsia" w:eastAsia="楷体"/>
                <w:kern w:val="0"/>
                <w:sz w:val="24"/>
                <w:lang w:bidi="ar"/>
              </w:rPr>
              <w:t>未有受过行政主管机关、司法机关处罚的不良记录，近</w:t>
            </w:r>
            <w:r>
              <w:rPr>
                <w:rFonts w:eastAsia="楷体"/>
                <w:kern w:val="0"/>
                <w:sz w:val="24"/>
                <w:lang w:bidi="ar"/>
              </w:rPr>
              <w:t>3</w:t>
            </w:r>
            <w:r>
              <w:rPr>
                <w:rFonts w:hint="eastAsia" w:eastAsia="楷体"/>
                <w:kern w:val="0"/>
                <w:sz w:val="24"/>
                <w:lang w:bidi="ar"/>
              </w:rPr>
              <w:t>年（以正式提交申报材料之日起追溯</w:t>
            </w:r>
            <w:r>
              <w:rPr>
                <w:rFonts w:eastAsia="楷体"/>
                <w:kern w:val="0"/>
                <w:sz w:val="24"/>
                <w:lang w:bidi="ar"/>
              </w:rPr>
              <w:t>36</w:t>
            </w:r>
            <w:r>
              <w:rPr>
                <w:rFonts w:hint="eastAsia" w:eastAsia="楷体"/>
                <w:kern w:val="0"/>
                <w:sz w:val="24"/>
                <w:lang w:bidi="ar"/>
              </w:rPr>
              <w:t>个月）未受过行业自律组织处罚</w:t>
            </w:r>
            <w:r>
              <w:rPr>
                <w:rFonts w:hint="eastAsia" w:eastAsia="楷体" w:cs="楷体"/>
                <w:kern w:val="0"/>
                <w:sz w:val="24"/>
                <w:lang w:bidi="ar"/>
              </w:rPr>
              <w:t>。</w:t>
            </w:r>
          </w:p>
        </w:tc>
      </w:tr>
    </w:tbl>
    <w:p>
      <w:pPr>
        <w:ind w:left="640" w:firstLine="0" w:firstLineChars="0"/>
      </w:pPr>
    </w:p>
    <w:p>
      <w:pPr>
        <w:widowControl/>
        <w:spacing w:line="240" w:lineRule="auto"/>
        <w:ind w:firstLine="0" w:firstLineChars="0"/>
        <w:jc w:val="left"/>
        <w:rPr>
          <w:rFonts w:eastAsia="黑体"/>
          <w:bCs/>
          <w:kern w:val="44"/>
          <w:szCs w:val="44"/>
        </w:rPr>
      </w:pPr>
      <w:r>
        <w:rPr>
          <w:rFonts w:eastAsia="黑体"/>
          <w:bCs/>
          <w:kern w:val="44"/>
          <w:szCs w:val="44"/>
        </w:rPr>
        <w:br w:type="page"/>
      </w:r>
    </w:p>
    <w:p>
      <w:pPr>
        <w:keepNext/>
        <w:keepLines/>
        <w:ind w:firstLine="0" w:firstLineChars="0"/>
        <w:jc w:val="center"/>
        <w:outlineLvl w:val="0"/>
        <w:rPr>
          <w:lang w:bidi="ar"/>
        </w:rPr>
      </w:pPr>
      <w:r>
        <w:rPr>
          <w:rFonts w:hint="eastAsia" w:eastAsia="黑体"/>
          <w:bCs/>
          <w:kern w:val="44"/>
          <w:szCs w:val="44"/>
        </w:rPr>
        <w:t>二、评审指标</w:t>
      </w:r>
      <w:bookmarkEnd w:id="2"/>
      <w:bookmarkStart w:id="4" w:name="_Hlk117083017"/>
    </w:p>
    <w:bookmarkEnd w:id="4"/>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19"/>
        <w:gridCol w:w="1567"/>
        <w:gridCol w:w="12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 w:hRule="atLeast"/>
          <w:tblHeader/>
          <w:jc w:val="center"/>
        </w:trPr>
        <w:tc>
          <w:tcPr>
            <w:tcW w:w="459" w:type="pct"/>
            <w:shd w:val="clear" w:color="auto" w:fill="D8D8D8" w:themeFill="background1" w:themeFillShade="D9"/>
          </w:tcPr>
          <w:p>
            <w:pPr>
              <w:widowControl/>
              <w:spacing w:line="360" w:lineRule="exact"/>
              <w:ind w:firstLine="0" w:firstLineChars="0"/>
              <w:jc w:val="center"/>
              <w:textAlignment w:val="center"/>
              <w:rPr>
                <w:rFonts w:ascii="等线" w:hAnsi="等线" w:eastAsia="等线" w:cs="等线"/>
                <w:b/>
                <w:bCs/>
                <w:kern w:val="0"/>
                <w:sz w:val="22"/>
                <w:szCs w:val="22"/>
                <w:lang w:bidi="ar"/>
              </w:rPr>
            </w:pPr>
            <w:bookmarkStart w:id="5" w:name="_Hlk117026398"/>
            <w:r>
              <w:rPr>
                <w:rFonts w:hint="eastAsia" w:ascii="等线" w:hAnsi="等线" w:eastAsia="等线" w:cs="等线"/>
                <w:b/>
                <w:bCs/>
                <w:kern w:val="0"/>
                <w:sz w:val="22"/>
                <w:szCs w:val="22"/>
                <w:lang w:bidi="ar"/>
              </w:rPr>
              <w:t>一级指标</w:t>
            </w:r>
          </w:p>
        </w:tc>
        <w:tc>
          <w:tcPr>
            <w:tcW w:w="507" w:type="pct"/>
            <w:shd w:val="clear" w:color="auto" w:fill="D8D8D8" w:themeFill="background1" w:themeFillShade="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二级指标</w:t>
            </w:r>
          </w:p>
        </w:tc>
        <w:tc>
          <w:tcPr>
            <w:tcW w:w="4034" w:type="pct"/>
            <w:shd w:val="clear" w:color="auto" w:fill="D8D8D8" w:themeFill="background1" w:themeFillShade="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评审项目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0" w:hRule="atLeast"/>
          <w:jc w:val="center"/>
        </w:trPr>
        <w:tc>
          <w:tcPr>
            <w:tcW w:w="459" w:type="pct"/>
            <w:vMerge w:val="restart"/>
            <w:shd w:val="clear" w:color="auto" w:fill="auto"/>
            <w:vAlign w:val="center"/>
          </w:tcPr>
          <w:p>
            <w:pPr>
              <w:widowControl/>
              <w:spacing w:line="240" w:lineRule="auto"/>
              <w:ind w:firstLine="0" w:firstLineChars="0"/>
              <w:jc w:val="center"/>
              <w:textAlignment w:val="center"/>
              <w:rPr>
                <w:rFonts w:eastAsia="等线" w:cs="等线"/>
                <w:b/>
                <w:bCs/>
                <w:kern w:val="0"/>
                <w:sz w:val="22"/>
                <w:szCs w:val="22"/>
                <w:lang w:bidi="ar"/>
              </w:rPr>
            </w:pPr>
            <w:r>
              <w:rPr>
                <w:rFonts w:hint="eastAsia" w:eastAsia="等线" w:cs="等线"/>
                <w:b/>
                <w:bCs/>
                <w:kern w:val="0"/>
                <w:sz w:val="22"/>
                <w:szCs w:val="22"/>
                <w:lang w:bidi="ar"/>
              </w:rPr>
              <w:t>基金产品要素</w:t>
            </w:r>
          </w:p>
          <w:p>
            <w:pPr>
              <w:widowControl/>
              <w:spacing w:line="240" w:lineRule="auto"/>
              <w:ind w:firstLine="0" w:firstLineChars="0"/>
              <w:jc w:val="center"/>
              <w:textAlignment w:val="center"/>
              <w:rPr>
                <w:rFonts w:ascii="等线" w:hAnsi="等线" w:eastAsia="等线" w:cs="等线"/>
                <w:b/>
                <w:bCs/>
                <w:sz w:val="22"/>
                <w:szCs w:val="22"/>
              </w:rPr>
            </w:pPr>
            <w:r>
              <w:rPr>
                <w:rFonts w:hint="eastAsia" w:eastAsia="等线" w:cs="等线"/>
                <w:b/>
                <w:bCs/>
                <w:kern w:val="0"/>
                <w:sz w:val="22"/>
                <w:szCs w:val="22"/>
                <w:lang w:bidi="ar"/>
              </w:rPr>
              <w:t>（</w:t>
            </w:r>
            <w:r>
              <w:rPr>
                <w:rFonts w:eastAsia="等线" w:cs="等线"/>
                <w:b/>
                <w:bCs/>
                <w:kern w:val="0"/>
                <w:sz w:val="22"/>
                <w:szCs w:val="22"/>
                <w:lang w:bidi="ar"/>
              </w:rPr>
              <w:t>50</w:t>
            </w:r>
            <w:r>
              <w:rPr>
                <w:rFonts w:hint="eastAsia" w:eastAsia="等线" w:cs="等线"/>
                <w:b/>
                <w:bCs/>
                <w:kern w:val="0"/>
                <w:sz w:val="22"/>
                <w:szCs w:val="22"/>
                <w:lang w:bidi="ar"/>
              </w:rPr>
              <w:t>分）</w:t>
            </w: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基金募集</w:t>
            </w:r>
          </w:p>
          <w:p>
            <w:pPr>
              <w:spacing w:line="360" w:lineRule="exact"/>
              <w:ind w:firstLine="0" w:firstLineChars="0"/>
              <w:jc w:val="center"/>
              <w:textAlignment w:val="center"/>
              <w:rPr>
                <w:rFonts w:ascii="楷体" w:hAnsi="楷体" w:eastAsia="楷体" w:cs="等线"/>
                <w:b/>
                <w:bCs/>
                <w:kern w:val="0"/>
                <w:sz w:val="21"/>
                <w:szCs w:val="21"/>
                <w:lang w:bidi="ar"/>
              </w:rPr>
            </w:pPr>
            <w:r>
              <w:rPr>
                <w:rFonts w:hint="eastAsia" w:ascii="楷体" w:hAnsi="楷体" w:eastAsia="楷体" w:cs="等线"/>
                <w:b/>
                <w:bCs/>
                <w:kern w:val="0"/>
                <w:sz w:val="21"/>
                <w:szCs w:val="21"/>
                <w:lang w:bidi="ar"/>
              </w:rPr>
              <w:t>（</w:t>
            </w:r>
            <w:r>
              <w:rPr>
                <w:rFonts w:eastAsia="楷体"/>
                <w:b/>
                <w:bCs/>
                <w:kern w:val="0"/>
                <w:sz w:val="21"/>
                <w:szCs w:val="21"/>
                <w:lang w:bidi="ar"/>
              </w:rPr>
              <w:t>15</w:t>
            </w:r>
            <w:r>
              <w:rPr>
                <w:rFonts w:hint="eastAsia" w:ascii="楷体" w:hAnsi="楷体" w:eastAsia="楷体" w:cs="等线"/>
                <w:b/>
                <w:bCs/>
                <w:kern w:val="0"/>
                <w:sz w:val="21"/>
                <w:szCs w:val="21"/>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募资情况。</w:t>
            </w:r>
            <w:r>
              <w:rPr>
                <w:rFonts w:eastAsia="楷体"/>
                <w:sz w:val="24"/>
              </w:rPr>
              <w:t>1.</w:t>
            </w:r>
            <w:r>
              <w:rPr>
                <w:rFonts w:hint="eastAsia" w:eastAsia="楷体"/>
                <w:sz w:val="24"/>
                <w:u w:val="single"/>
              </w:rPr>
              <w:t>大黄山基金一期规模为20-30亿元，基金管理人负责募集资金比例不低于30%，安徽省联合国家级母基金出资不超过21亿元，</w:t>
            </w:r>
            <w:r>
              <w:rPr>
                <w:rFonts w:hint="eastAsia" w:eastAsia="楷体"/>
                <w:sz w:val="24"/>
              </w:rPr>
              <w:t>鼓励基金管理人加大募集力度，做大基金规模；2</w:t>
            </w:r>
            <w:r>
              <w:rPr>
                <w:rFonts w:eastAsia="楷体"/>
                <w:sz w:val="24"/>
              </w:rPr>
              <w:t>.</w:t>
            </w:r>
            <w:r>
              <w:rPr>
                <w:rFonts w:hint="eastAsia" w:eastAsia="楷体"/>
                <w:sz w:val="24"/>
              </w:rPr>
              <w:t>基金管理人已取得其他出资人出具的出资承诺函或意向函，且金额不低于基金计划设立规模的</w:t>
            </w:r>
            <w:r>
              <w:rPr>
                <w:rFonts w:eastAsia="楷体"/>
                <w:sz w:val="24"/>
              </w:rPr>
              <w:t>15%</w:t>
            </w:r>
            <w:r>
              <w:rPr>
                <w:rFonts w:hint="eastAsia" w:eastAsia="楷体"/>
                <w:sz w:val="24"/>
              </w:rPr>
              <w:t>。</w:t>
            </w:r>
          </w:p>
          <w:p>
            <w:pPr>
              <w:widowControl/>
              <w:spacing w:line="340" w:lineRule="exact"/>
              <w:ind w:firstLine="0" w:firstLineChars="0"/>
              <w:textAlignment w:val="center"/>
              <w:rPr>
                <w:rFonts w:eastAsia="楷体"/>
                <w:sz w:val="24"/>
              </w:rPr>
            </w:pPr>
            <w:r>
              <w:rPr>
                <w:rFonts w:hint="eastAsia" w:eastAsia="楷体"/>
                <w:sz w:val="24"/>
              </w:rPr>
              <w:t>备注：各级财政资金、政府引导基金或母基金、国有企业对基金出资的决策文件可视同出资承诺函。</w:t>
            </w:r>
            <w:r>
              <w:rPr>
                <w:rFonts w:hint="eastAsia" w:eastAsia="楷体"/>
                <w:bCs/>
                <w:kern w:val="0"/>
                <w:sz w:val="24"/>
                <w:lang w:bidi="ar"/>
              </w:rPr>
              <w:t>募集资金中，存在国家级政府出资产业投资基金、全国社会保障基金或大型保险基金、中央管理企业、上市公司出资的，请在申报材料中予以标识。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restar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基金投资</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30</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hint="eastAsia" w:eastAsia="楷体"/>
                <w:b/>
                <w:bCs/>
                <w:sz w:val="24"/>
              </w:rPr>
              <w:t>区域研究和投资策略</w:t>
            </w:r>
            <w:r>
              <w:rPr>
                <w:rFonts w:eastAsia="楷体"/>
                <w:b/>
                <w:bCs/>
                <w:sz w:val="24"/>
              </w:rPr>
              <w:t>。</w:t>
            </w:r>
            <w:r>
              <w:rPr>
                <w:rFonts w:hint="eastAsia" w:eastAsia="楷体"/>
                <w:bCs/>
                <w:sz w:val="24"/>
              </w:rPr>
              <w:t>基金管理人对于大黄山四市（黄山、池州、安庆、宣城）总体情况、发展特点、产业布局的研究水平和在推动大黄山文化旅游和高端服务产业发展、项目建设方面规划安排。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continue"/>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p>
        </w:tc>
        <w:tc>
          <w:tcPr>
            <w:tcW w:w="4034" w:type="pct"/>
            <w:shd w:val="clear" w:color="auto" w:fill="auto"/>
            <w:vAlign w:val="center"/>
          </w:tcPr>
          <w:p>
            <w:pPr>
              <w:widowControl/>
              <w:spacing w:line="340" w:lineRule="exact"/>
              <w:ind w:firstLine="0" w:firstLineChars="0"/>
              <w:textAlignment w:val="center"/>
              <w:rPr>
                <w:rFonts w:eastAsia="楷体"/>
                <w:b/>
                <w:bCs/>
                <w:sz w:val="24"/>
              </w:rPr>
            </w:pPr>
            <w:r>
              <w:rPr>
                <w:rFonts w:hint="eastAsia" w:eastAsia="楷体"/>
                <w:b/>
                <w:bCs/>
                <w:sz w:val="24"/>
              </w:rPr>
              <w:t>返投安排。</w:t>
            </w:r>
            <w:r>
              <w:rPr>
                <w:rFonts w:hint="eastAsia" w:eastAsia="楷体"/>
                <w:bCs/>
                <w:sz w:val="24"/>
              </w:rPr>
              <w:t>基金投资大黄山四市（黄山、池州、安庆、宣城）企业的资金不低于基金实缴规模60%；投向安徽省内的资金不低于基金实缴规模的80%。鼓励</w:t>
            </w:r>
            <w:r>
              <w:rPr>
                <w:rFonts w:hint="eastAsia" w:eastAsia="楷体"/>
                <w:sz w:val="24"/>
              </w:rPr>
              <w:t>加大对大黄山四市、安徽省招商引资、招才引智力度。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vMerge w:val="continue"/>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p>
        </w:tc>
        <w:tc>
          <w:tcPr>
            <w:tcW w:w="4034" w:type="pct"/>
            <w:shd w:val="clear" w:color="auto" w:fill="auto"/>
            <w:vAlign w:val="center"/>
          </w:tcPr>
          <w:p>
            <w:pPr>
              <w:widowControl/>
              <w:spacing w:line="340" w:lineRule="exact"/>
              <w:ind w:firstLine="0" w:firstLineChars="0"/>
              <w:textAlignment w:val="center"/>
              <w:rPr>
                <w:rFonts w:eastAsia="楷体"/>
                <w:b/>
                <w:bCs/>
                <w:sz w:val="24"/>
              </w:rPr>
            </w:pPr>
            <w:r>
              <w:rPr>
                <w:rFonts w:eastAsia="楷体"/>
                <w:b/>
                <w:bCs/>
                <w:sz w:val="24"/>
              </w:rPr>
              <w:t>储备项目。</w:t>
            </w:r>
            <w:r>
              <w:rPr>
                <w:rFonts w:hint="eastAsia" w:eastAsia="楷体"/>
                <w:bCs/>
                <w:sz w:val="24"/>
              </w:rPr>
              <w:t>基金管理人</w:t>
            </w:r>
            <w:r>
              <w:rPr>
                <w:rFonts w:eastAsia="楷体"/>
                <w:sz w:val="24"/>
              </w:rPr>
              <w:t>为基金开展投资准备的储备项目、拟招引项目情况，主要包括拟投金额、项目类型</w:t>
            </w:r>
            <w:r>
              <w:rPr>
                <w:rFonts w:hint="eastAsia" w:eastAsia="楷体"/>
                <w:sz w:val="24"/>
              </w:rPr>
              <w:t>、项目简介、盈利预测</w:t>
            </w:r>
            <w:r>
              <w:rPr>
                <w:rFonts w:eastAsia="楷体"/>
                <w:sz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7"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基金成本</w:t>
            </w:r>
          </w:p>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管理费计提和考核。</w:t>
            </w:r>
            <w:r>
              <w:rPr>
                <w:rFonts w:hint="eastAsia" w:eastAsia="楷体"/>
                <w:bCs/>
                <w:sz w:val="24"/>
              </w:rPr>
              <w:t>管理费需在合理区间范围内报价。按照遴选公告要求的管理费计提方式、考核方式申报，可得基准分。鼓励控制基金成本。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77" w:hRule="atLeast"/>
          <w:jc w:val="center"/>
        </w:trPr>
        <w:tc>
          <w:tcPr>
            <w:tcW w:w="459" w:type="pct"/>
            <w:vMerge w:val="restart"/>
            <w:shd w:val="clear" w:color="auto" w:fill="auto"/>
            <w:vAlign w:val="center"/>
          </w:tcPr>
          <w:p>
            <w:pPr>
              <w:spacing w:line="240" w:lineRule="auto"/>
              <w:ind w:firstLine="0" w:firstLineChars="0"/>
              <w:jc w:val="center"/>
              <w:rPr>
                <w:rFonts w:eastAsia="等线" w:cs="等线"/>
                <w:b/>
                <w:bCs/>
                <w:kern w:val="0"/>
                <w:sz w:val="22"/>
                <w:szCs w:val="22"/>
                <w:lang w:bidi="ar"/>
              </w:rPr>
            </w:pPr>
            <w:r>
              <w:rPr>
                <w:rFonts w:hint="eastAsia" w:eastAsia="等线" w:cs="等线"/>
                <w:b/>
                <w:bCs/>
                <w:kern w:val="0"/>
                <w:sz w:val="22"/>
                <w:szCs w:val="22"/>
                <w:lang w:bidi="ar"/>
              </w:rPr>
              <w:t>管理机构和</w:t>
            </w:r>
          </w:p>
          <w:p>
            <w:pPr>
              <w:spacing w:line="240" w:lineRule="auto"/>
              <w:ind w:firstLine="0" w:firstLineChars="0"/>
              <w:jc w:val="center"/>
              <w:rPr>
                <w:rFonts w:eastAsia="等线" w:cs="等线"/>
                <w:b/>
                <w:bCs/>
                <w:kern w:val="0"/>
                <w:sz w:val="22"/>
                <w:szCs w:val="22"/>
                <w:lang w:bidi="ar"/>
              </w:rPr>
            </w:pPr>
            <w:r>
              <w:rPr>
                <w:rFonts w:hint="eastAsia" w:eastAsia="等线" w:cs="等线"/>
                <w:b/>
                <w:bCs/>
                <w:kern w:val="0"/>
                <w:sz w:val="22"/>
                <w:szCs w:val="22"/>
                <w:lang w:bidi="ar"/>
              </w:rPr>
              <w:t>管理团队要素</w:t>
            </w:r>
          </w:p>
          <w:p>
            <w:pPr>
              <w:spacing w:line="240" w:lineRule="auto"/>
              <w:ind w:firstLine="0" w:firstLineChars="0"/>
              <w:jc w:val="center"/>
              <w:rPr>
                <w:rFonts w:eastAsia="宋体"/>
                <w:sz w:val="20"/>
                <w:szCs w:val="20"/>
              </w:rPr>
            </w:pPr>
            <w:r>
              <w:rPr>
                <w:rFonts w:hint="eastAsia" w:eastAsia="等线" w:cs="等线"/>
                <w:b/>
                <w:bCs/>
                <w:kern w:val="0"/>
                <w:sz w:val="22"/>
                <w:szCs w:val="22"/>
                <w:lang w:bidi="ar"/>
              </w:rPr>
              <w:t>（</w:t>
            </w:r>
            <w:r>
              <w:rPr>
                <w:rFonts w:eastAsia="等线" w:cs="等线"/>
                <w:b/>
                <w:bCs/>
                <w:kern w:val="0"/>
                <w:sz w:val="22"/>
                <w:szCs w:val="22"/>
                <w:lang w:bidi="ar"/>
              </w:rPr>
              <w:t>50</w:t>
            </w:r>
            <w:r>
              <w:rPr>
                <w:rFonts w:hint="eastAsia" w:eastAsia="等线" w:cs="等线"/>
                <w:b/>
                <w:bCs/>
                <w:kern w:val="0"/>
                <w:sz w:val="22"/>
                <w:szCs w:val="22"/>
                <w:lang w:bidi="ar"/>
              </w:rPr>
              <w:t>分）</w:t>
            </w: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募资业绩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（10分）</w:t>
            </w:r>
          </w:p>
        </w:tc>
        <w:tc>
          <w:tcPr>
            <w:tcW w:w="4034" w:type="pct"/>
            <w:shd w:val="clear" w:color="auto" w:fill="auto"/>
            <w:vAlign w:val="center"/>
          </w:tcPr>
          <w:p>
            <w:pPr>
              <w:widowControl/>
              <w:spacing w:line="320" w:lineRule="exact"/>
              <w:ind w:firstLine="0" w:firstLineChars="0"/>
              <w:textAlignment w:val="center"/>
              <w:rPr>
                <w:rFonts w:eastAsia="楷体"/>
                <w:kern w:val="0"/>
                <w:sz w:val="24"/>
                <w:lang w:bidi="ar"/>
              </w:rPr>
            </w:pPr>
            <w:r>
              <w:rPr>
                <w:rFonts w:eastAsia="楷体"/>
                <w:b/>
                <w:bCs/>
                <w:kern w:val="0"/>
                <w:sz w:val="24"/>
                <w:lang w:bidi="ar"/>
              </w:rPr>
              <w:t>1.基金管理规模。</w:t>
            </w:r>
            <w:r>
              <w:rPr>
                <w:rFonts w:hint="eastAsia" w:eastAsia="楷体"/>
                <w:kern w:val="0"/>
                <w:sz w:val="24"/>
                <w:lang w:bidi="ar"/>
              </w:rPr>
              <w:t>原则上，基金管理人常驻安徽核心团队累计管理各类基金达到3只及以上，总规模不低于20亿元。</w:t>
            </w:r>
          </w:p>
          <w:p>
            <w:pPr>
              <w:widowControl/>
              <w:spacing w:line="320" w:lineRule="exact"/>
              <w:ind w:firstLine="0" w:firstLineChars="0"/>
              <w:textAlignment w:val="center"/>
              <w:rPr>
                <w:rFonts w:eastAsia="楷体"/>
                <w:bCs/>
                <w:kern w:val="0"/>
                <w:sz w:val="24"/>
                <w:lang w:bidi="ar"/>
              </w:rPr>
            </w:pPr>
            <w:r>
              <w:rPr>
                <w:rFonts w:eastAsia="楷体"/>
                <w:b/>
                <w:bCs/>
                <w:kern w:val="0"/>
                <w:sz w:val="24"/>
                <w:lang w:bidi="ar"/>
              </w:rPr>
              <w:t>2.</w:t>
            </w:r>
            <w:r>
              <w:rPr>
                <w:rFonts w:hint="eastAsia" w:eastAsia="楷体"/>
                <w:b/>
                <w:bCs/>
                <w:kern w:val="0"/>
                <w:sz w:val="24"/>
                <w:lang w:bidi="ar"/>
              </w:rPr>
              <w:t>近五年募资情况。</w:t>
            </w:r>
            <w:r>
              <w:rPr>
                <w:rFonts w:eastAsia="楷体"/>
                <w:bCs/>
                <w:kern w:val="0"/>
                <w:sz w:val="24"/>
                <w:lang w:bidi="ar"/>
              </w:rPr>
              <w:t>201</w:t>
            </w:r>
            <w:r>
              <w:rPr>
                <w:rFonts w:hint="eastAsia" w:eastAsia="楷体"/>
                <w:bCs/>
                <w:kern w:val="0"/>
                <w:sz w:val="24"/>
                <w:lang w:bidi="ar"/>
              </w:rPr>
              <w:t>9年</w:t>
            </w:r>
            <w:r>
              <w:rPr>
                <w:rFonts w:eastAsia="楷体"/>
                <w:bCs/>
                <w:kern w:val="0"/>
                <w:sz w:val="24"/>
                <w:lang w:bidi="ar"/>
              </w:rPr>
              <w:t>1</w:t>
            </w:r>
            <w:r>
              <w:rPr>
                <w:rFonts w:hint="eastAsia" w:eastAsia="楷体"/>
                <w:bCs/>
                <w:kern w:val="0"/>
                <w:sz w:val="24"/>
                <w:lang w:bidi="ar"/>
              </w:rPr>
              <w:t>月以来，基金管理人新增募集到位资金规模，原则上应当不低于1</w:t>
            </w:r>
            <w:r>
              <w:rPr>
                <w:rFonts w:eastAsia="楷体"/>
                <w:bCs/>
                <w:kern w:val="0"/>
                <w:sz w:val="24"/>
                <w:lang w:bidi="ar"/>
              </w:rPr>
              <w:t>0</w:t>
            </w:r>
            <w:r>
              <w:rPr>
                <w:rFonts w:hint="eastAsia" w:eastAsia="楷体"/>
                <w:bCs/>
                <w:kern w:val="0"/>
                <w:sz w:val="24"/>
                <w:lang w:bidi="ar"/>
              </w:rPr>
              <w:t>亿元。</w:t>
            </w:r>
          </w:p>
          <w:p>
            <w:pPr>
              <w:widowControl/>
              <w:spacing w:line="320" w:lineRule="exact"/>
              <w:ind w:firstLine="0" w:firstLineChars="0"/>
              <w:textAlignment w:val="center"/>
              <w:rPr>
                <w:rFonts w:eastAsia="楷体"/>
                <w:sz w:val="24"/>
              </w:rPr>
            </w:pPr>
            <w:r>
              <w:rPr>
                <w:rFonts w:hint="eastAsia" w:eastAsia="楷体"/>
                <w:bCs/>
                <w:kern w:val="0"/>
                <w:sz w:val="24"/>
                <w:lang w:bidi="ar"/>
              </w:rPr>
              <w:t>备注：</w:t>
            </w:r>
            <w:r>
              <w:rPr>
                <w:rFonts w:eastAsia="楷体"/>
                <w:bCs/>
                <w:kern w:val="0"/>
                <w:sz w:val="24"/>
                <w:lang w:bidi="ar"/>
              </w:rPr>
              <w:t>1.</w:t>
            </w:r>
            <w:r>
              <w:rPr>
                <w:rFonts w:hint="eastAsia" w:eastAsia="楷体"/>
                <w:bCs/>
                <w:kern w:val="0"/>
                <w:sz w:val="24"/>
                <w:lang w:bidi="ar"/>
              </w:rPr>
              <w:t>基金管理规模以中基协备案信息为依据，按照实缴到位资金计算。募集到位资金主要以银行出具的资金流水、到位凭证，或会计事务所出资的验资报告为准；</w:t>
            </w:r>
            <w:r>
              <w:rPr>
                <w:rFonts w:eastAsia="楷体"/>
                <w:bCs/>
                <w:kern w:val="0"/>
                <w:sz w:val="24"/>
                <w:lang w:bidi="ar"/>
              </w:rPr>
              <w:t>2.</w:t>
            </w:r>
            <w:r>
              <w:rPr>
                <w:rFonts w:hint="eastAsia" w:eastAsia="楷体"/>
                <w:bCs/>
                <w:kern w:val="0"/>
                <w:sz w:val="24"/>
                <w:lang w:bidi="ar"/>
              </w:rPr>
              <w:t>基金管理人或为同一控股股东、同一实际控制人旗下的管理机构、同一委派管理团队负责的管理机构，在管基金实缴到位规模可纳入募资业绩。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投资业绩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15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1.基金投资情况。</w:t>
            </w:r>
            <w:r>
              <w:rPr>
                <w:rFonts w:hint="eastAsia" w:eastAsia="楷体"/>
                <w:sz w:val="24"/>
              </w:rPr>
              <w:t>基金管理人在管基金投资成效情况，在管基金最新一期净资产和估值是否取得较好增长。（重点标识文化旅游和高端服务业领域基金）</w:t>
            </w:r>
          </w:p>
          <w:p>
            <w:pPr>
              <w:widowControl/>
              <w:spacing w:line="340" w:lineRule="exact"/>
              <w:ind w:firstLine="0" w:firstLineChars="0"/>
              <w:textAlignment w:val="center"/>
              <w:rPr>
                <w:rFonts w:eastAsia="楷体"/>
                <w:b/>
                <w:sz w:val="24"/>
              </w:rPr>
            </w:pPr>
            <w:r>
              <w:rPr>
                <w:rFonts w:eastAsia="楷体"/>
                <w:b/>
                <w:sz w:val="24"/>
              </w:rPr>
              <w:t>2.</w:t>
            </w:r>
            <w:r>
              <w:rPr>
                <w:rFonts w:hint="eastAsia" w:eastAsia="楷体"/>
                <w:b/>
                <w:sz w:val="24"/>
              </w:rPr>
              <w:t>项目投资成功案例情况。</w:t>
            </w:r>
            <w:r>
              <w:rPr>
                <w:rFonts w:hint="eastAsia" w:eastAsia="楷体"/>
                <w:sz w:val="24"/>
              </w:rPr>
              <w:t>基金管理人投资的文化旅游和高端服务业项目已取得较好的社会效益和经济效益，原则上须提供不少于2个成功案例，鼓励尽量多列。</w:t>
            </w:r>
          </w:p>
          <w:p>
            <w:pPr>
              <w:widowControl/>
              <w:spacing w:line="340" w:lineRule="exact"/>
              <w:ind w:firstLine="0" w:firstLineChars="0"/>
              <w:textAlignment w:val="center"/>
              <w:rPr>
                <w:rFonts w:eastAsia="楷体"/>
                <w:sz w:val="24"/>
              </w:rPr>
            </w:pPr>
            <w:r>
              <w:rPr>
                <w:rFonts w:hint="eastAsia" w:eastAsia="楷体"/>
                <w:sz w:val="24"/>
              </w:rPr>
              <w:t>备注：</w:t>
            </w:r>
            <w:r>
              <w:rPr>
                <w:rFonts w:eastAsia="楷体"/>
                <w:sz w:val="24"/>
              </w:rPr>
              <w:t>1.</w:t>
            </w:r>
            <w:r>
              <w:rPr>
                <w:rFonts w:hint="eastAsia" w:eastAsia="楷体"/>
                <w:sz w:val="24"/>
              </w:rPr>
              <w:t>最新一期是以2023年12月31日为基准日。</w:t>
            </w:r>
            <w:r>
              <w:rPr>
                <w:rFonts w:eastAsia="楷体"/>
                <w:bCs/>
                <w:kern w:val="0"/>
                <w:sz w:val="24"/>
                <w:lang w:bidi="ar"/>
              </w:rPr>
              <w:t>2.</w:t>
            </w:r>
            <w:r>
              <w:rPr>
                <w:rFonts w:hint="eastAsia" w:eastAsia="楷体"/>
                <w:bCs/>
                <w:kern w:val="0"/>
                <w:sz w:val="24"/>
                <w:lang w:bidi="ar"/>
              </w:rPr>
              <w:t>基金管理人或为同一控股股东、同一实际控制人旗下的管理机构、同一委派管理团队负责的管理机构的历史投资案例可纳入投资业绩。</w:t>
            </w:r>
            <w:r>
              <w:rPr>
                <w:rFonts w:eastAsia="楷体"/>
                <w:bCs/>
                <w:kern w:val="0"/>
                <w:sz w:val="24"/>
                <w:lang w:bidi="ar"/>
              </w:rPr>
              <w:t>3</w:t>
            </w:r>
            <w:r>
              <w:rPr>
                <w:rFonts w:hint="eastAsia" w:eastAsia="楷体"/>
                <w:bCs/>
                <w:kern w:val="0"/>
                <w:sz w:val="24"/>
                <w:lang w:bidi="ar"/>
              </w:rPr>
              <w:t>.投资成功案例主要包括投资后实现IPO、被上市公司并购项目，或者为地方政府成功招引重大产业项目及其他具备良好经济效益和社会效益的案例。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7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管理能力</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1.内部治理。</w:t>
            </w:r>
            <w:r>
              <w:rPr>
                <w:rFonts w:hint="eastAsia" w:eastAsia="楷体"/>
                <w:sz w:val="24"/>
              </w:rPr>
              <w:t>基金管理人是否已建立完善的投资决策、内部控制、激励约束、关联交易和利益冲突规避机制，是否拥有良好的商业信誉，是否拥有与所承担责任相适应的资产，是否具有有效措施切实保证其无限责任承担能力。</w:t>
            </w:r>
          </w:p>
          <w:p>
            <w:pPr>
              <w:widowControl/>
              <w:spacing w:line="340" w:lineRule="exact"/>
              <w:ind w:firstLine="0" w:firstLineChars="0"/>
              <w:textAlignment w:val="center"/>
              <w:rPr>
                <w:rFonts w:eastAsia="楷体"/>
                <w:sz w:val="24"/>
              </w:rPr>
            </w:pPr>
            <w:r>
              <w:rPr>
                <w:rFonts w:eastAsia="楷体"/>
                <w:b/>
                <w:bCs/>
                <w:sz w:val="24"/>
              </w:rPr>
              <w:t>2.</w:t>
            </w:r>
            <w:r>
              <w:rPr>
                <w:rFonts w:hint="eastAsia" w:eastAsia="楷体"/>
                <w:b/>
                <w:bCs/>
                <w:sz w:val="24"/>
              </w:rPr>
              <w:t>行业影响力。</w:t>
            </w:r>
            <w:r>
              <w:rPr>
                <w:rFonts w:hint="eastAsia" w:eastAsia="楷体"/>
                <w:sz w:val="24"/>
              </w:rPr>
              <w:t>基金管理人是否具备社会知名度和行业影响力。</w:t>
            </w:r>
          </w:p>
          <w:p>
            <w:pPr>
              <w:widowControl/>
              <w:spacing w:line="340" w:lineRule="exact"/>
              <w:ind w:firstLine="0" w:firstLineChars="0"/>
              <w:textAlignment w:val="center"/>
              <w:rPr>
                <w:rFonts w:eastAsia="楷体"/>
                <w:sz w:val="24"/>
              </w:rPr>
            </w:pPr>
            <w:r>
              <w:rPr>
                <w:rFonts w:hint="eastAsia" w:eastAsia="楷体"/>
                <w:sz w:val="24"/>
              </w:rPr>
              <w:t>备注：社会知名度和行业影响力主要参考</w:t>
            </w:r>
            <w:r>
              <w:rPr>
                <w:rFonts w:eastAsia="楷体"/>
                <w:sz w:val="24"/>
              </w:rPr>
              <w:t>202</w:t>
            </w:r>
            <w:r>
              <w:rPr>
                <w:rFonts w:hint="eastAsia" w:eastAsia="楷体"/>
                <w:sz w:val="24"/>
              </w:rPr>
              <w:t>1年</w:t>
            </w:r>
            <w:r>
              <w:rPr>
                <w:rFonts w:eastAsia="楷体"/>
                <w:sz w:val="24"/>
              </w:rPr>
              <w:t>1</w:t>
            </w:r>
            <w:r>
              <w:rPr>
                <w:rFonts w:hint="eastAsia" w:eastAsia="楷体"/>
                <w:sz w:val="24"/>
              </w:rPr>
              <w:t>月以来中国证券投资基金业协会等行业自律监管机构，或者清科研究、投中网、母基金研究中心、中国风险投资研究院等第三方知名机构，或者行业知名母基金发布的信用报告、排名、榜单、评价报告等。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退出业绩</w:t>
            </w:r>
          </w:p>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w:t>
            </w:r>
            <w:r>
              <w:rPr>
                <w:rFonts w:eastAsia="楷体" w:cs="等线"/>
                <w:b/>
                <w:bCs/>
                <w:kern w:val="0"/>
                <w:sz w:val="24"/>
                <w:lang w:bidi="ar"/>
              </w:rPr>
              <w:t>5</w:t>
            </w:r>
            <w:r>
              <w:rPr>
                <w:rFonts w:hint="eastAsia" w:eastAsia="楷体" w:cs="等线"/>
                <w:b/>
                <w:bCs/>
                <w:kern w:val="0"/>
                <w:sz w:val="24"/>
                <w:lang w:bidi="ar"/>
              </w:rPr>
              <w:t>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hint="eastAsia" w:eastAsia="楷体"/>
                <w:b/>
                <w:bCs/>
                <w:sz w:val="24"/>
              </w:rPr>
              <w:t>退出成功案例</w:t>
            </w:r>
            <w:r>
              <w:rPr>
                <w:rFonts w:eastAsia="楷体"/>
                <w:b/>
                <w:bCs/>
                <w:sz w:val="24"/>
              </w:rPr>
              <w:t>。</w:t>
            </w:r>
            <w:r>
              <w:rPr>
                <w:rFonts w:hint="eastAsia" w:eastAsia="楷体"/>
                <w:bCs/>
                <w:sz w:val="24"/>
              </w:rPr>
              <w:t>基金管理人是否</w:t>
            </w:r>
            <w:r>
              <w:rPr>
                <w:rFonts w:eastAsia="楷体"/>
                <w:bCs/>
                <w:sz w:val="24"/>
              </w:rPr>
              <w:t>拥有退出业绩或流动性较好的</w:t>
            </w:r>
            <w:r>
              <w:rPr>
                <w:rFonts w:hint="eastAsia" w:eastAsia="楷体"/>
                <w:bCs/>
                <w:sz w:val="24"/>
              </w:rPr>
              <w:t>文化旅游和高端服务业产业领域</w:t>
            </w:r>
            <w:r>
              <w:rPr>
                <w:rFonts w:eastAsia="楷体"/>
                <w:bCs/>
                <w:sz w:val="24"/>
              </w:rPr>
              <w:t>基金案例。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0" w:hRule="atLeast"/>
          <w:jc w:val="center"/>
        </w:trPr>
        <w:tc>
          <w:tcPr>
            <w:tcW w:w="459" w:type="pct"/>
            <w:vMerge w:val="continue"/>
            <w:shd w:val="clear" w:color="auto" w:fill="auto"/>
            <w:vAlign w:val="center"/>
          </w:tcPr>
          <w:p>
            <w:pPr>
              <w:spacing w:line="240" w:lineRule="auto"/>
              <w:ind w:firstLine="0" w:firstLineChars="0"/>
              <w:rPr>
                <w:rFonts w:eastAsia="宋体"/>
                <w:sz w:val="20"/>
                <w:szCs w:val="20"/>
              </w:rPr>
            </w:pPr>
          </w:p>
        </w:tc>
        <w:tc>
          <w:tcPr>
            <w:tcW w:w="507" w:type="pct"/>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委派团队情况</w:t>
            </w:r>
          </w:p>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（15分）</w:t>
            </w:r>
          </w:p>
        </w:tc>
        <w:tc>
          <w:tcPr>
            <w:tcW w:w="4034"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1.人员配备情况。</w:t>
            </w:r>
            <w:r>
              <w:rPr>
                <w:rFonts w:eastAsia="楷体"/>
                <w:sz w:val="24"/>
              </w:rPr>
              <w:t>基金管理人为</w:t>
            </w:r>
            <w:r>
              <w:rPr>
                <w:rFonts w:hint="eastAsia" w:eastAsia="楷体"/>
                <w:sz w:val="24"/>
              </w:rPr>
              <w:t>大黄山</w:t>
            </w:r>
            <w:r>
              <w:rPr>
                <w:rFonts w:eastAsia="楷体"/>
                <w:sz w:val="24"/>
              </w:rPr>
              <w:t>基金所委派管理团队、核心成员、常驻安徽人员履历和分工情况，及其产业投资和基金运营管理经验等。</w:t>
            </w:r>
            <w:r>
              <w:rPr>
                <w:rFonts w:hint="eastAsia" w:eastAsia="楷体"/>
                <w:sz w:val="24"/>
              </w:rPr>
              <w:t>原则上，团队主要成员共同从事股权投资相关业务达到3年及以上。</w:t>
            </w:r>
          </w:p>
          <w:p>
            <w:pPr>
              <w:widowControl/>
              <w:spacing w:line="340" w:lineRule="exact"/>
              <w:ind w:firstLine="0" w:firstLineChars="0"/>
              <w:textAlignment w:val="center"/>
              <w:rPr>
                <w:rFonts w:eastAsia="楷体"/>
                <w:sz w:val="24"/>
              </w:rPr>
            </w:pPr>
            <w:r>
              <w:rPr>
                <w:rFonts w:eastAsia="楷体"/>
                <w:b/>
                <w:bCs/>
                <w:sz w:val="24"/>
              </w:rPr>
              <w:t>2.项目投资成功案例情况。</w:t>
            </w:r>
            <w:r>
              <w:rPr>
                <w:rFonts w:hint="eastAsia" w:eastAsia="楷体"/>
                <w:sz w:val="24"/>
              </w:rPr>
              <w:t>委派管理团队核心成员主导投资的文化旅游和高端服务业项目已取得较好的社会效益和经济效益，原则上须提供不少于</w:t>
            </w:r>
            <w:r>
              <w:rPr>
                <w:rFonts w:eastAsia="楷体"/>
                <w:sz w:val="24"/>
              </w:rPr>
              <w:t>2个成功案例，鼓励尽量多列。</w:t>
            </w:r>
          </w:p>
          <w:p>
            <w:pPr>
              <w:widowControl/>
              <w:spacing w:line="340" w:lineRule="exact"/>
              <w:ind w:firstLine="0" w:firstLineChars="0"/>
              <w:textAlignment w:val="center"/>
              <w:rPr>
                <w:rFonts w:eastAsia="楷体"/>
                <w:sz w:val="24"/>
              </w:rPr>
            </w:pPr>
            <w:r>
              <w:rPr>
                <w:rFonts w:hint="eastAsia" w:eastAsia="楷体"/>
                <w:sz w:val="24"/>
              </w:rPr>
              <w:t>备注：</w:t>
            </w:r>
            <w:r>
              <w:rPr>
                <w:rFonts w:eastAsia="楷体"/>
                <w:sz w:val="24"/>
              </w:rPr>
              <w:t>1.委派管理团队核心成员指的是在管理基金中担任投决会成员、委派代表、合伙人，或在基金管理机构中担任投资总监、风控总监及以上职级的高级管理人员；2.</w:t>
            </w:r>
            <w:r>
              <w:rPr>
                <w:rFonts w:hint="eastAsia" w:eastAsia="楷体"/>
                <w:bCs/>
                <w:kern w:val="0"/>
                <w:sz w:val="24"/>
                <w:lang w:bidi="ar"/>
              </w:rPr>
              <w:t>投资成功案例主要包括投资后实现IPO、被上市公司并购项目，或者为地方政府成功招引重大产业项目及其他具备良好经济效益和社会效益的案例</w:t>
            </w:r>
            <w:r>
              <w:rPr>
                <w:rFonts w:eastAsia="楷体"/>
                <w:sz w:val="24"/>
              </w:rPr>
              <w:t>。</w:t>
            </w:r>
          </w:p>
        </w:tc>
      </w:tr>
      <w:bookmarkEnd w:id="5"/>
    </w:tbl>
    <w:p>
      <w:pPr>
        <w:keepNext/>
        <w:keepLines/>
        <w:ind w:firstLine="0" w:firstLineChars="0"/>
        <w:jc w:val="center"/>
        <w:outlineLvl w:val="0"/>
        <w:rPr>
          <w:lang w:bidi="ar"/>
        </w:rPr>
      </w:pPr>
    </w:p>
    <w:sectPr>
      <w:pgSz w:w="16838" w:h="11906" w:orient="landscape"/>
      <w:pgMar w:top="720" w:right="720" w:bottom="720" w:left="7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altName w:val="楷体"/>
    <w:panose1 w:val="02010609060101010101"/>
    <w:charset w:val="86"/>
    <w:family w:val="modern"/>
    <w:pitch w:val="default"/>
    <w:sig w:usb0="00000000" w:usb1="00000000"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楷体_GBK">
    <w:altName w:val="微软雅黑"/>
    <w:panose1 w:val="00000000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A9423-107A-466F-B93E-64F4F2178A3A}">
  <ds:schemaRefs/>
</ds:datastoreItem>
</file>